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20" w:lineRule="exact"/>
        <w:rPr>
          <w:rFonts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ascii="方正小标宋_GBK" w:eastAsia="方正小标宋_GBK"/>
          <w:b/>
          <w:bCs/>
          <w:spacing w:val="3"/>
          <w:sz w:val="48"/>
        </w:rPr>
      </w:pPr>
      <w:r>
        <w:rPr>
          <w:rFonts w:hint="eastAsia" w:ascii="方正小标宋_GBK" w:hAnsi="华文中宋" w:eastAsia="方正小标宋_GBK"/>
          <w:b/>
          <w:bCs/>
          <w:spacing w:val="3"/>
          <w:sz w:val="44"/>
          <w:szCs w:val="44"/>
        </w:rPr>
        <w:t>惠州市国有建设用地使用权网上挂牌</w:t>
      </w:r>
      <w:r>
        <w:rPr>
          <w:rFonts w:hint="eastAsia" w:ascii="方正小标宋_GBK" w:hAnsi="华文中宋" w:eastAsia="方正小标宋_GBK"/>
          <w:b/>
          <w:bCs/>
          <w:sz w:val="44"/>
          <w:szCs w:val="44"/>
        </w:rPr>
        <w:t>出让公告</w:t>
      </w:r>
    </w:p>
    <w:p>
      <w:pPr>
        <w:jc w:val="center"/>
      </w:pPr>
      <w:r>
        <w:rPr>
          <w:rFonts w:hint="eastAsia" w:ascii="仿宋_GB2312" w:eastAsia="仿宋_GB2312"/>
          <w:sz w:val="32"/>
          <w:szCs w:val="32"/>
        </w:rPr>
        <w:t>惠公易土市直[20</w:t>
      </w:r>
      <w:r>
        <w:rPr>
          <w:rFonts w:hint="eastAsia" w:ascii="仿宋_GB2312" w:eastAsia="仿宋_GB2312"/>
          <w:sz w:val="32"/>
          <w:szCs w:val="32"/>
          <w:lang w:val="en-US" w:eastAsia="zh-CN"/>
        </w:rPr>
        <w:t>20</w:t>
      </w:r>
      <w:r>
        <w:rPr>
          <w:rFonts w:hint="eastAsia" w:ascii="仿宋_GB2312" w:eastAsia="仿宋_GB2312"/>
          <w:sz w:val="32"/>
          <w:szCs w:val="32"/>
        </w:rPr>
        <w:t>]0</w:t>
      </w:r>
      <w:r>
        <w:rPr>
          <w:rFonts w:hint="eastAsia" w:ascii="仿宋_GB2312" w:eastAsia="仿宋_GB2312"/>
          <w:sz w:val="32"/>
          <w:szCs w:val="32"/>
          <w:lang w:val="en-US" w:eastAsia="zh-CN"/>
        </w:rPr>
        <w:t>33</w:t>
      </w:r>
      <w:r>
        <w:rPr>
          <w:rFonts w:hint="eastAsia" w:ascii="仿宋_GB2312" w:eastAsia="仿宋_GB2312"/>
          <w:sz w:val="32"/>
          <w:szCs w:val="32"/>
        </w:rPr>
        <w:t>号</w:t>
      </w:r>
    </w:p>
    <w:p>
      <w:pPr>
        <w:spacing w:line="520" w:lineRule="exact"/>
        <w:ind w:firstLine="360" w:firstLineChars="200"/>
        <w:rPr>
          <w:rFonts w:ascii="仿宋_GB2312" w:eastAsia="仿宋_GB2312"/>
          <w:sz w:val="18"/>
          <w:szCs w:val="18"/>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国土资源部令第39号《招标拍卖挂牌出让国有建设用地使用权规定》和广东省人民政府令第79号《广东省土地使用权交易市场管理规定》的规定，经惠州市人民政府批准，惠州市惠城区自然资源局决定以网上挂牌方式出让下列一宗国有建设用地使用权，本次国有建设用地使用权网上挂牌出让交易具体事务委托惠州市公共资源交易中心办理。现将有关事项公告如下：</w:t>
      </w:r>
    </w:p>
    <w:p>
      <w:pPr>
        <w:spacing w:line="560" w:lineRule="exact"/>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一、网上挂牌出让地块基本情况及规划指标要求（见附表）</w:t>
      </w:r>
    </w:p>
    <w:p>
      <w:pPr>
        <w:spacing w:line="560" w:lineRule="exact"/>
        <w:ind w:left="319" w:leftChars="152" w:firstLine="400" w:firstLineChars="125"/>
        <w:rPr>
          <w:rFonts w:ascii="仿宋_GB2312" w:hAnsi="仿宋_GB2312" w:eastAsia="仿宋_GB2312" w:cs="仿宋_GB2312"/>
          <w:sz w:val="32"/>
          <w:szCs w:val="32"/>
        </w:rPr>
      </w:pPr>
      <w:r>
        <w:rPr>
          <w:rFonts w:hint="eastAsia" w:ascii="仿宋_GB2312" w:hAnsi="仿宋_GB2312" w:eastAsia="仿宋_GB2312" w:cs="仿宋_GB2312"/>
          <w:sz w:val="32"/>
          <w:szCs w:val="32"/>
        </w:rPr>
        <w:t>二、网上挂牌竞买时间为20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日9时至20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日10时。</w:t>
      </w:r>
    </w:p>
    <w:p>
      <w:pPr>
        <w:spacing w:line="560" w:lineRule="exact"/>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三、挂牌起始价为人民币</w:t>
      </w:r>
      <w:r>
        <w:rPr>
          <w:rFonts w:hint="eastAsia" w:ascii="仿宋_GB2312" w:hAnsi="仿宋" w:eastAsia="仿宋_GB2312"/>
          <w:sz w:val="32"/>
          <w:szCs w:val="32"/>
          <w:lang w:val="en-US" w:eastAsia="zh-CN"/>
        </w:rPr>
        <w:t>945</w:t>
      </w:r>
      <w:r>
        <w:rPr>
          <w:rFonts w:hint="eastAsia" w:ascii="仿宋_GB2312" w:hAnsi="仿宋_GB2312" w:eastAsia="仿宋_GB2312" w:cs="仿宋_GB2312"/>
          <w:sz w:val="32"/>
          <w:szCs w:val="32"/>
        </w:rPr>
        <w:t>万元,每次报价加价幅度为人民币50万元的整数倍。</w:t>
      </w:r>
    </w:p>
    <w:p>
      <w:pPr>
        <w:spacing w:line="560" w:lineRule="exact"/>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四、中华人民共和国境内外的法人和其他组织（除法律法规另有规定外）均可申请参加竞买。申请人可以单独申请，也可以联合申请：</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出让合同》，在竞得人按约定办理完新公司注册登记手续后，再与新公司签订《国有建设用地使用权出让合同变更协议》；也可按约定直接与新公司签订《出让合同》。</w:t>
      </w:r>
    </w:p>
    <w:p>
      <w:pPr>
        <w:pStyle w:val="3"/>
        <w:widowControl w:val="0"/>
        <w:spacing w:line="560" w:lineRule="exact"/>
        <w:jc w:val="both"/>
        <w:rPr>
          <w:rFonts w:hAnsi="仿宋_GB2312" w:cs="仿宋_GB2312"/>
          <w:szCs w:val="32"/>
        </w:rPr>
      </w:pPr>
      <w:r>
        <w:rPr>
          <w:rFonts w:hint="eastAsia" w:hAnsi="仿宋_GB2312" w:cs="仿宋_GB2312"/>
          <w:szCs w:val="32"/>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3"/>
        <w:widowControl w:val="0"/>
        <w:spacing w:before="0" w:line="560" w:lineRule="exact"/>
        <w:jc w:val="both"/>
        <w:rPr>
          <w:rFonts w:hAnsi="仿宋_GB2312" w:cs="仿宋_GB2312"/>
          <w:szCs w:val="32"/>
        </w:rPr>
      </w:pPr>
      <w:r>
        <w:rPr>
          <w:rFonts w:hint="eastAsia" w:hAnsi="仿宋_GB2312" w:cs="仿宋_GB2312"/>
          <w:szCs w:val="32"/>
        </w:rPr>
        <w:t>五、申请人应具备的其他条件：</w:t>
      </w:r>
    </w:p>
    <w:p>
      <w:pPr>
        <w:pStyle w:val="3"/>
        <w:widowControl w:val="0"/>
        <w:spacing w:line="560" w:lineRule="exact"/>
        <w:jc w:val="both"/>
        <w:rPr>
          <w:rFonts w:hAnsi="仿宋_GB2312" w:cs="仿宋_GB2312"/>
          <w:szCs w:val="32"/>
        </w:rPr>
      </w:pPr>
      <w:r>
        <w:rPr>
          <w:rFonts w:hint="eastAsia" w:hAnsi="仿宋_GB2312" w:cs="仿宋_GB2312"/>
          <w:szCs w:val="32"/>
        </w:rPr>
        <w:t>（一）缴交竞买保证金</w:t>
      </w:r>
      <w:r>
        <w:rPr>
          <w:rFonts w:hint="eastAsia" w:hAnsi="仿宋"/>
          <w:kern w:val="2"/>
          <w:szCs w:val="32"/>
          <w:lang w:val="en-US" w:eastAsia="zh-CN"/>
        </w:rPr>
        <w:t>283.5</w:t>
      </w:r>
      <w:r>
        <w:rPr>
          <w:rFonts w:hint="eastAsia" w:hAnsi="仿宋_GB2312" w:cs="仿宋_GB2312"/>
          <w:szCs w:val="32"/>
        </w:rPr>
        <w:t>万元人民币。</w:t>
      </w:r>
    </w:p>
    <w:p>
      <w:pPr>
        <w:pStyle w:val="3"/>
        <w:widowControl w:val="0"/>
        <w:spacing w:line="520" w:lineRule="exact"/>
        <w:jc w:val="both"/>
        <w:rPr>
          <w:rFonts w:hAnsi="仿宋_GB2312" w:cs="仿宋_GB2312"/>
          <w:szCs w:val="32"/>
        </w:rPr>
      </w:pPr>
      <w:r>
        <w:rPr>
          <w:rFonts w:hint="eastAsia" w:hAnsi="仿宋_GB2312" w:cs="仿宋_GB2312"/>
          <w:szCs w:val="32"/>
        </w:rPr>
        <w:t>（二）存在下列违法违规违约行为之一的企业及其控股股东，不得参与竞买上述地块：</w:t>
      </w:r>
    </w:p>
    <w:p>
      <w:pPr>
        <w:pStyle w:val="3"/>
        <w:widowControl w:val="0"/>
        <w:spacing w:line="520" w:lineRule="exact"/>
        <w:jc w:val="both"/>
        <w:rPr>
          <w:rFonts w:hAnsi="仿宋_GB2312" w:cs="仿宋_GB2312"/>
          <w:szCs w:val="32"/>
        </w:rPr>
      </w:pPr>
      <w:r>
        <w:rPr>
          <w:rFonts w:hint="eastAsia" w:hAnsi="仿宋_GB2312" w:cs="仿宋_GB2312"/>
          <w:szCs w:val="32"/>
        </w:rPr>
        <w:t>1、存在伪造公文骗取用地和非法倒卖土地等犯罪行为的；</w:t>
      </w:r>
    </w:p>
    <w:p>
      <w:pPr>
        <w:pStyle w:val="3"/>
        <w:widowControl w:val="0"/>
        <w:spacing w:line="520" w:lineRule="exact"/>
        <w:jc w:val="both"/>
        <w:rPr>
          <w:rFonts w:hAnsi="仿宋_GB2312" w:cs="仿宋_GB2312"/>
          <w:szCs w:val="32"/>
        </w:rPr>
      </w:pPr>
      <w:r>
        <w:rPr>
          <w:rFonts w:hint="eastAsia" w:hAnsi="仿宋_GB2312" w:cs="仿宋_GB2312"/>
          <w:szCs w:val="32"/>
        </w:rPr>
        <w:t>2、存在非法转让土地使用权等违法行为的；</w:t>
      </w:r>
    </w:p>
    <w:p>
      <w:pPr>
        <w:pStyle w:val="3"/>
        <w:widowControl w:val="0"/>
        <w:spacing w:line="520" w:lineRule="exact"/>
        <w:jc w:val="both"/>
        <w:rPr>
          <w:rFonts w:hAnsi="仿宋_GB2312" w:cs="仿宋_GB2312"/>
          <w:szCs w:val="32"/>
        </w:rPr>
      </w:pPr>
      <w:r>
        <w:rPr>
          <w:rFonts w:hint="eastAsia" w:hAnsi="仿宋_GB2312" w:cs="仿宋_GB2312"/>
          <w:szCs w:val="32"/>
        </w:rPr>
        <w:t>3、因企业原因造成土地闲置一年以上且至报名日止未处罚完结的；</w:t>
      </w:r>
    </w:p>
    <w:p>
      <w:pPr>
        <w:pStyle w:val="3"/>
        <w:widowControl w:val="0"/>
        <w:spacing w:line="520" w:lineRule="exact"/>
        <w:jc w:val="both"/>
        <w:rPr>
          <w:rFonts w:hAnsi="仿宋_GB2312" w:cs="仿宋_GB2312"/>
          <w:szCs w:val="32"/>
        </w:rPr>
      </w:pPr>
      <w:r>
        <w:rPr>
          <w:rFonts w:hint="eastAsia" w:hAnsi="仿宋_GB2312" w:cs="仿宋_GB2312"/>
          <w:szCs w:val="32"/>
        </w:rPr>
        <w:t>4、开发建设企业有违背出让合同约定条件开发利用土地情形且至报名日止未处罚完结的；</w:t>
      </w:r>
    </w:p>
    <w:p>
      <w:pPr>
        <w:pStyle w:val="3"/>
        <w:widowControl w:val="0"/>
        <w:spacing w:line="520" w:lineRule="exact"/>
        <w:jc w:val="both"/>
        <w:rPr>
          <w:rFonts w:hAnsi="仿宋_GB2312" w:cs="仿宋_GB2312"/>
          <w:szCs w:val="32"/>
        </w:rPr>
      </w:pPr>
      <w:r>
        <w:rPr>
          <w:rFonts w:hint="eastAsia" w:hAnsi="仿宋_GB2312" w:cs="仿宋_GB2312"/>
          <w:szCs w:val="32"/>
        </w:rPr>
        <w:t>5、至报名日止仍拖欠政府地价款的;</w:t>
      </w:r>
    </w:p>
    <w:p>
      <w:pPr>
        <w:pStyle w:val="3"/>
        <w:widowControl w:val="0"/>
        <w:spacing w:line="520" w:lineRule="exact"/>
        <w:jc w:val="both"/>
        <w:rPr>
          <w:rFonts w:hAnsi="仿宋_GB2312" w:cs="仿宋_GB2312"/>
          <w:szCs w:val="32"/>
        </w:rPr>
      </w:pPr>
      <w:r>
        <w:rPr>
          <w:rFonts w:hint="eastAsia" w:hAnsi="仿宋_GB2312" w:cs="仿宋_GB2312"/>
          <w:szCs w:val="32"/>
        </w:rPr>
        <w:t>6、被列入问题楼盘开发企业黑名单的;</w:t>
      </w:r>
    </w:p>
    <w:p>
      <w:pPr>
        <w:pStyle w:val="3"/>
        <w:widowControl w:val="0"/>
        <w:spacing w:line="520" w:lineRule="exact"/>
        <w:jc w:val="both"/>
        <w:rPr>
          <w:rFonts w:hAnsi="仿宋_GB2312" w:cs="仿宋_GB2312"/>
          <w:szCs w:val="32"/>
        </w:rPr>
      </w:pPr>
      <w:r>
        <w:rPr>
          <w:rFonts w:hint="eastAsia" w:hAnsi="仿宋_GB2312" w:cs="仿宋_GB2312"/>
          <w:szCs w:val="32"/>
        </w:rPr>
        <w:t>7、存在其它被禁止竞买土地行为的。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六、本次国有建设用地使用权网上挂牌出让为无底价挂牌出让，按照价高者得的原则确定竞得人。</w:t>
      </w:r>
    </w:p>
    <w:p>
      <w:pPr>
        <w:spacing w:line="56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七、本次网上挂牌出让的详细资料和具体要求，见惠州市公共资源交易中心土地与矿业网上挂牌交易系统（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）。申请人可在网上挂牌交易系统下载挂牌出让公告、须知及相关交易文件，并按上述文件规定的操作程序在网上参加竞买。</w:t>
      </w:r>
    </w:p>
    <w:p>
      <w:pPr>
        <w:spacing w:line="56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八、有意竞买者可以自行到地块现场踏勘（可在网上挂牌交易系统查阅位置图和现状图）。</w:t>
      </w:r>
    </w:p>
    <w:p>
      <w:pPr>
        <w:spacing w:line="56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九、申请人应当在网上挂牌出让结束前登陆惠州市公共资源交易中心土地与矿业网上挂牌交易系统并在系统上向惠州市公共资源交易中心提交竞买申请并支付保证金。网上挂牌保证金到账截止时间为20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日上午9时止。网上挂牌报价时间截止时，经系统询问，有竞买人表示愿意继续竞价的，系统自动进入网上限时竞价程序，通过竞价确定竞得人。</w:t>
      </w:r>
    </w:p>
    <w:p>
      <w:pPr>
        <w:spacing w:line="56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十、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spacing w:line="56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十一、竞得人签订《成交确认书》后，缴交的保证金中按成交价的20%转作定金，竞得人签订《出让合同》后，定金转作土地出让价款。</w:t>
      </w:r>
    </w:p>
    <w:p>
      <w:pPr>
        <w:spacing w:line="56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保证金少于成交价20%的，不足部分由竞得人在签订《成交确认书》之日起5个工作日内付清。</w:t>
      </w:r>
    </w:p>
    <w:p>
      <w:pPr>
        <w:spacing w:line="56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十二、其它需要公告的事项</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（一）开发投资总额不少于</w:t>
      </w:r>
      <w:r>
        <w:rPr>
          <w:rFonts w:hint="eastAsia" w:ascii="仿宋_GB2312" w:hAnsi="仿宋" w:eastAsia="仿宋_GB2312"/>
          <w:color w:val="000000" w:themeColor="text1"/>
          <w:sz w:val="32"/>
          <w:szCs w:val="32"/>
          <w:lang w:val="en-US" w:eastAsia="zh-CN"/>
        </w:rPr>
        <w:t>2000</w:t>
      </w:r>
      <w:r>
        <w:rPr>
          <w:rFonts w:hint="eastAsia" w:ascii="仿宋_GB2312" w:hAnsi="仿宋_GB2312" w:eastAsia="仿宋_GB2312" w:cs="仿宋_GB2312"/>
          <w:color w:val="000000" w:themeColor="text1"/>
          <w:sz w:val="32"/>
          <w:szCs w:val="32"/>
        </w:rPr>
        <w:t>万元（含地价）。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autoSpaceDE w:val="0"/>
        <w:spacing w:line="520"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（三）竞买人须提交惠城区发改局出具的与该宗地块规划确定的产业类型一致的优先发展产业项目文件。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（四）该地权利清晰，安置补偿落实到位，没有法律经济纠纷，具备动工开发所必须的基本条件。</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约定条件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val="0"/>
          <w:bCs w:val="0"/>
          <w:color w:val="000000"/>
          <w:kern w:val="0"/>
          <w:sz w:val="32"/>
          <w:szCs w:val="32"/>
        </w:rPr>
        <w:t>竞得人需</w:t>
      </w:r>
      <w:r>
        <w:rPr>
          <w:rFonts w:hint="eastAsia" w:ascii="仿宋_GB2312" w:hAnsi="仿宋_GB2312" w:eastAsia="仿宋_GB2312" w:cs="仿宋_GB2312"/>
          <w:b w:val="0"/>
          <w:bCs w:val="0"/>
          <w:color w:val="000000"/>
          <w:kern w:val="0"/>
          <w:sz w:val="32"/>
          <w:szCs w:val="32"/>
          <w:lang w:eastAsia="zh-CN"/>
        </w:rPr>
        <w:t>承担该地块上建筑面积≥</w:t>
      </w:r>
      <w:r>
        <w:rPr>
          <w:rFonts w:hint="eastAsia" w:ascii="仿宋_GB2312" w:hAnsi="仿宋_GB2312" w:eastAsia="仿宋_GB2312" w:cs="仿宋_GB2312"/>
          <w:b w:val="0"/>
          <w:bCs w:val="0"/>
          <w:color w:val="000000"/>
          <w:kern w:val="0"/>
          <w:sz w:val="32"/>
          <w:szCs w:val="32"/>
          <w:lang w:val="en-US" w:eastAsia="zh-CN"/>
        </w:rPr>
        <w:t>2000㎡、建筑占地面积≥500㎡的园区产业服务配套用房建设，建成后无偿移交给政府相关部门使用。</w:t>
      </w:r>
    </w:p>
    <w:p>
      <w:pPr>
        <w:pStyle w:val="3"/>
        <w:widowControl w:val="0"/>
        <w:spacing w:line="560" w:lineRule="exact"/>
        <w:jc w:val="both"/>
        <w:rPr>
          <w:rFonts w:hAnsi="仿宋_GB2312" w:cs="仿宋_GB2312"/>
          <w:szCs w:val="32"/>
        </w:rPr>
      </w:pPr>
      <w:r>
        <w:rPr>
          <w:rFonts w:hint="eastAsia" w:ascii="仿宋_GB2312" w:eastAsia="仿宋_GB2312"/>
          <w:sz w:val="32"/>
          <w:szCs w:val="32"/>
        </w:rPr>
        <w:t>（</w:t>
      </w:r>
      <w:r>
        <w:rPr>
          <w:rFonts w:hint="eastAsia" w:ascii="仿宋_GB2312" w:eastAsia="仿宋_GB2312"/>
          <w:sz w:val="32"/>
          <w:szCs w:val="32"/>
          <w:lang w:eastAsia="zh-CN"/>
        </w:rPr>
        <w:t>六</w:t>
      </w:r>
      <w:r>
        <w:rPr>
          <w:rFonts w:hint="eastAsia" w:ascii="仿宋_GB2312" w:eastAsia="仿宋_GB2312"/>
          <w:sz w:val="32"/>
          <w:szCs w:val="32"/>
        </w:rPr>
        <w:t>）</w:t>
      </w:r>
      <w:r>
        <w:rPr>
          <w:rFonts w:hint="eastAsia" w:hAnsi="仿宋_GB2312" w:cs="仿宋_GB2312"/>
          <w:szCs w:val="32"/>
        </w:rPr>
        <w:t>竞得人在用地红线内开发建设必须符合城市规划要求，必须按《</w:t>
      </w:r>
      <w:r>
        <w:rPr>
          <w:rFonts w:hint="eastAsia" w:hAnsi="仿宋_GB2312" w:cs="仿宋_GB2312"/>
          <w:szCs w:val="32"/>
          <w:lang w:val="en-US" w:eastAsia="zh-CN"/>
        </w:rPr>
        <w:t>建设用地规划条件</w:t>
      </w:r>
      <w:r>
        <w:rPr>
          <w:rFonts w:hint="eastAsia" w:hAnsi="仿宋_GB2312" w:cs="仿宋_GB2312"/>
          <w:szCs w:val="32"/>
        </w:rPr>
        <w:t>》（案卷编号：</w:t>
      </w:r>
      <w:r>
        <w:rPr>
          <w:rFonts w:hint="eastAsia" w:hAnsi="仿宋_GB2312" w:cs="仿宋_GB2312"/>
          <w:szCs w:val="32"/>
          <w:lang w:val="en-US" w:eastAsia="zh-CN"/>
        </w:rPr>
        <w:t>HCPB20190008</w:t>
      </w:r>
      <w:r>
        <w:rPr>
          <w:rFonts w:hint="eastAsia" w:hAnsi="仿宋_GB2312" w:cs="仿宋_GB2312"/>
          <w:szCs w:val="32"/>
        </w:rPr>
        <w:t>）规划控制指标要求及有关规定进行规划设计。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）竞得人有下列行为之一的，视为违约，取消竞得人资格，没收保证金,并由有关部门依法处理;造成损失的，竞得人还应依法承担赔偿责任：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1、不符合竞买资格条件的；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2、采取行贿、恶意串通等非法手段竞得的；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3、竞得人以其他非法手段竞得的；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4、竞得人逾期或拒绝签订《成交确认书》的；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5、竞得人逾期或拒绝签订《出让合同》的；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6、不按本须知规定提供有关纸质文件材料，或提供虚假文件材料、隐瞒重要事实，引起交易纠纷的；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7、构成违约责任的其他行为。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）挂牌出让价款不含应由竞得人缴纳的契税、印花税等有关费用。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十三、该宗地使用网上挂牌方式出让，交易全程适用《惠州市国有建设用地使用权和矿业权电子挂牌交易规则》（惠府〔2014〕167号）。</w:t>
      </w:r>
    </w:p>
    <w:p>
      <w:pPr>
        <w:spacing w:line="56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十四、联系方式：</w:t>
      </w:r>
    </w:p>
    <w:p>
      <w:pPr>
        <w:spacing w:line="56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联系地址：广东省惠州市江北文华一路2号大隆大厦6楼</w:t>
      </w:r>
    </w:p>
    <w:p>
      <w:pPr>
        <w:spacing w:line="560" w:lineRule="exact"/>
        <w:ind w:firstLine="640" w:firstLineChars="200"/>
        <w:rPr>
          <w:rFonts w:hint="default" w:eastAsia="仿宋_GB2312"/>
          <w:lang w:val="en-US" w:eastAsia="zh-CN"/>
        </w:rPr>
      </w:pPr>
      <w:r>
        <w:rPr>
          <w:rFonts w:hint="eastAsia" w:ascii="仿宋_GB2312" w:hAnsi="仿宋_GB2312" w:eastAsia="仿宋_GB2312" w:cs="仿宋_GB2312"/>
          <w:sz w:val="32"/>
          <w:szCs w:val="32"/>
        </w:rPr>
        <w:t>联系人：</w:t>
      </w:r>
      <w:r>
        <w:rPr>
          <w:rFonts w:hint="eastAsia" w:ascii="仿宋_GB2312" w:eastAsia="仿宋_GB2312"/>
          <w:sz w:val="32"/>
          <w:szCs w:val="32"/>
        </w:rPr>
        <w:t>袁小姐、</w:t>
      </w:r>
      <w:r>
        <w:rPr>
          <w:rFonts w:hint="eastAsia" w:ascii="仿宋_GB2312" w:eastAsia="仿宋_GB2312"/>
          <w:sz w:val="32"/>
          <w:szCs w:val="32"/>
          <w:lang w:val="en-US" w:eastAsia="zh-CN"/>
        </w:rPr>
        <w:t>黄小姐</w:t>
      </w:r>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联系电话：</w:t>
      </w:r>
      <w:r>
        <w:rPr>
          <w:rFonts w:hint="eastAsia" w:ascii="仿宋_GB2312" w:eastAsia="仿宋_GB2312"/>
          <w:sz w:val="32"/>
          <w:szCs w:val="32"/>
        </w:rPr>
        <w:t>（0752）7121026、7121042</w:t>
      </w:r>
    </w:p>
    <w:p>
      <w:pPr>
        <w:spacing w:line="56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注：本公告同时在下列网站及场所发布</w:t>
      </w:r>
    </w:p>
    <w:p>
      <w:pPr>
        <w:spacing w:line="56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中国土地市场网: http://www.landchina.com</w:t>
      </w:r>
    </w:p>
    <w:p>
      <w:pPr>
        <w:spacing w:line="56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广东省土地市场网：</w:t>
      </w:r>
      <w:r>
        <w:fldChar w:fldCharType="begin"/>
      </w:r>
      <w:r>
        <w:instrText xml:space="preserve"> HYPERLINK "http://www.landgd.com" </w:instrText>
      </w:r>
      <w:r>
        <w:fldChar w:fldCharType="separate"/>
      </w:r>
      <w:r>
        <w:rPr>
          <w:rFonts w:hint="eastAsia" w:ascii="仿宋_GB2312" w:hAnsi="仿宋_GB2312" w:eastAsia="仿宋_GB2312" w:cs="仿宋_GB2312"/>
          <w:sz w:val="32"/>
          <w:szCs w:val="32"/>
        </w:rPr>
        <w:t>http://www.landgd.com</w:t>
      </w:r>
      <w:r>
        <w:rPr>
          <w:rFonts w:hint="eastAsia" w:ascii="仿宋_GB2312" w:hAnsi="仿宋_GB2312" w:eastAsia="仿宋_GB2312" w:cs="仿宋_GB2312"/>
          <w:sz w:val="32"/>
          <w:szCs w:val="32"/>
        </w:rPr>
        <w:fldChar w:fldCharType="end"/>
      </w:r>
    </w:p>
    <w:p>
      <w:pPr>
        <w:spacing w:line="56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惠州市自然资源局网站：http://land.huizhou.gov.cn</w:t>
      </w:r>
    </w:p>
    <w:p>
      <w:pPr>
        <w:spacing w:line="56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w:t>
      </w:r>
      <w:r>
        <w:fldChar w:fldCharType="begin"/>
      </w:r>
      <w:r>
        <w:instrText xml:space="preserve"> HYPERLINK "http://zyjy.huizhou.gov.cn" </w:instrText>
      </w:r>
      <w:r>
        <w:fldChar w:fldCharType="separate"/>
      </w:r>
      <w:r>
        <w:rPr>
          <w:rFonts w:hint="eastAsia" w:ascii="仿宋_GB2312" w:hAnsi="仿宋_GB2312" w:eastAsia="仿宋_GB2312" w:cs="仿宋_GB2312"/>
          <w:sz w:val="32"/>
          <w:szCs w:val="32"/>
        </w:rPr>
        <w:t>http://zyjy.huizhou.gov.cn</w:t>
      </w:r>
      <w:r>
        <w:rPr>
          <w:rFonts w:hint="eastAsia" w:ascii="仿宋_GB2312" w:hAnsi="仿宋_GB2312" w:eastAsia="仿宋_GB2312" w:cs="仿宋_GB2312"/>
          <w:sz w:val="32"/>
          <w:szCs w:val="32"/>
        </w:rPr>
        <w:fldChar w:fldCharType="end"/>
      </w:r>
    </w:p>
    <w:p>
      <w:pPr>
        <w:spacing w:line="56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惠州市公共资源交易中心交易大厅现场。</w:t>
      </w:r>
    </w:p>
    <w:p>
      <w:pPr>
        <w:spacing w:line="56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惠州日报。</w:t>
      </w:r>
    </w:p>
    <w:p>
      <w:pPr>
        <w:spacing w:line="560" w:lineRule="exact"/>
        <w:ind w:left="487" w:leftChars="232"/>
        <w:rPr>
          <w:rFonts w:ascii="宋体" w:hAnsi="宋体" w:cs="宋体"/>
          <w:color w:val="696969"/>
          <w:sz w:val="32"/>
          <w:szCs w:val="32"/>
        </w:rPr>
      </w:pPr>
      <w:r>
        <w:rPr>
          <w:rFonts w:hint="eastAsia" w:ascii="仿宋_GB2312" w:hAnsi="仿宋_GB2312" w:eastAsia="仿宋_GB2312" w:cs="仿宋_GB2312"/>
          <w:sz w:val="32"/>
          <w:szCs w:val="32"/>
        </w:rPr>
        <w:t>数字证书办理地址：</w:t>
      </w:r>
      <w:r>
        <w:rPr>
          <w:rFonts w:hint="eastAsia" w:ascii="仿宋_GB2312" w:hAnsi="仿宋_GB2312" w:eastAsia="仿宋_GB2312" w:cs="仿宋_GB2312"/>
          <w:color w:val="000000"/>
          <w:sz w:val="32"/>
          <w:szCs w:val="32"/>
        </w:rPr>
        <w:t>惠州市江北云山西路二号帝景国际商务中心七层18-22房。</w:t>
      </w:r>
    </w:p>
    <w:p>
      <w:pPr>
        <w:spacing w:line="56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联系电话：0752-2898481</w:t>
      </w:r>
    </w:p>
    <w:p>
      <w:pPr>
        <w:spacing w:line="520" w:lineRule="exact"/>
        <w:ind w:right="640"/>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惠州市惠城区自然资源局</w:t>
      </w:r>
    </w:p>
    <w:p>
      <w:pPr>
        <w:spacing w:line="520" w:lineRule="exact"/>
        <w:ind w:right="640" w:firstLine="4640" w:firstLineChars="1450"/>
        <w:rPr>
          <w:rFonts w:ascii="仿宋_GB2312" w:eastAsia="仿宋_GB2312"/>
          <w:sz w:val="32"/>
          <w:szCs w:val="32"/>
        </w:rPr>
      </w:pPr>
      <w:r>
        <w:rPr>
          <w:rFonts w:hint="eastAsia" w:ascii="仿宋_GB2312" w:hAnsi="仿宋_GB2312" w:eastAsia="仿宋_GB2312" w:cs="仿宋_GB2312"/>
          <w:sz w:val="32"/>
          <w:szCs w:val="32"/>
        </w:rPr>
        <w:t>惠州市公共资源交易中心</w:t>
      </w:r>
    </w:p>
    <w:p>
      <w:pPr>
        <w:spacing w:line="360" w:lineRule="auto"/>
        <w:jc w:val="center"/>
        <w:rPr>
          <w:rFonts w:ascii="仿宋_GB2312" w:eastAsia="仿宋_GB2312"/>
          <w:sz w:val="32"/>
          <w:szCs w:val="32"/>
        </w:rPr>
      </w:pPr>
      <w:r>
        <w:rPr>
          <w:rFonts w:hint="eastAsia" w:ascii="仿宋_GB2312" w:eastAsia="仿宋_GB2312"/>
          <w:sz w:val="32"/>
          <w:szCs w:val="32"/>
        </w:rPr>
        <w:t xml:space="preserve">                        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2</w:t>
      </w:r>
      <w:r>
        <w:rPr>
          <w:rFonts w:hint="eastAsia" w:ascii="仿宋_GB2312" w:eastAsia="仿宋_GB2312"/>
          <w:sz w:val="32"/>
          <w:szCs w:val="32"/>
        </w:rPr>
        <w:t>日</w:t>
      </w:r>
    </w:p>
    <w:p>
      <w:pPr>
        <w:spacing w:line="360" w:lineRule="auto"/>
        <w:jc w:val="center"/>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spacing w:line="360" w:lineRule="auto"/>
        <w:rPr>
          <w:rFonts w:ascii="仿宋_GB2312" w:eastAsia="仿宋_GB2312"/>
          <w:b/>
          <w:bCs/>
          <w:sz w:val="32"/>
          <w:szCs w:val="32"/>
        </w:rPr>
      </w:pPr>
      <w:r>
        <w:rPr>
          <w:rFonts w:hint="eastAsia" w:ascii="仿宋_GB2312" w:eastAsia="仿宋_GB2312"/>
          <w:b/>
          <w:bCs/>
          <w:sz w:val="32"/>
          <w:szCs w:val="32"/>
        </w:rPr>
        <w:t>附表：</w:t>
      </w:r>
    </w:p>
    <w:tbl>
      <w:tblPr>
        <w:tblStyle w:val="8"/>
        <w:tblpPr w:leftFromText="180" w:rightFromText="180" w:vertAnchor="text" w:horzAnchor="page" w:tblpX="1522" w:tblpY="883"/>
        <w:tblOverlap w:val="never"/>
        <w:tblW w:w="91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780"/>
        <w:gridCol w:w="555"/>
        <w:gridCol w:w="705"/>
        <w:gridCol w:w="1045"/>
        <w:gridCol w:w="808"/>
        <w:gridCol w:w="765"/>
        <w:gridCol w:w="825"/>
        <w:gridCol w:w="840"/>
        <w:gridCol w:w="1065"/>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5" w:hRule="atLeast"/>
        </w:trPr>
        <w:tc>
          <w:tcPr>
            <w:tcW w:w="84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s="宋体"/>
                <w:b/>
                <w:bCs/>
                <w:sz w:val="24"/>
                <w:szCs w:val="24"/>
              </w:rPr>
            </w:pPr>
            <w:r>
              <w:rPr>
                <w:rFonts w:hint="eastAsia" w:ascii="仿宋_GB2312" w:eastAsia="仿宋_GB2312"/>
                <w:b/>
                <w:bCs/>
              </w:rPr>
              <w:t>挂牌地块编号</w:t>
            </w:r>
          </w:p>
        </w:tc>
        <w:tc>
          <w:tcPr>
            <w:tcW w:w="780" w:type="dxa"/>
            <w:vMerge w:val="restart"/>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b/>
                <w:bCs/>
                <w:sz w:val="24"/>
                <w:szCs w:val="24"/>
              </w:rPr>
            </w:pPr>
            <w:r>
              <w:rPr>
                <w:rFonts w:hint="eastAsia" w:ascii="仿宋_GB2312" w:eastAsia="仿宋_GB2312"/>
                <w:b/>
                <w:bCs/>
              </w:rPr>
              <w:t>土地</w:t>
            </w:r>
          </w:p>
          <w:p>
            <w:pPr>
              <w:spacing w:line="320" w:lineRule="exact"/>
              <w:jc w:val="center"/>
              <w:rPr>
                <w:rFonts w:ascii="仿宋_GB2312" w:eastAsia="仿宋_GB2312" w:cs="宋体"/>
                <w:b/>
                <w:bCs/>
                <w:sz w:val="24"/>
                <w:szCs w:val="24"/>
              </w:rPr>
            </w:pPr>
            <w:r>
              <w:rPr>
                <w:rFonts w:hint="eastAsia" w:ascii="仿宋_GB2312" w:eastAsia="仿宋_GB2312"/>
                <w:b/>
                <w:bCs/>
              </w:rPr>
              <w:t>位置</w:t>
            </w:r>
          </w:p>
        </w:tc>
        <w:tc>
          <w:tcPr>
            <w:tcW w:w="555" w:type="dxa"/>
            <w:vMerge w:val="restart"/>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仿宋_GB2312" w:eastAsia="仿宋_GB2312" w:cs="宋体"/>
                <w:b/>
                <w:bCs/>
                <w:sz w:val="24"/>
                <w:szCs w:val="24"/>
              </w:rPr>
            </w:pPr>
            <w:r>
              <w:rPr>
                <w:rFonts w:hint="eastAsia" w:ascii="仿宋_GB2312" w:eastAsia="仿宋_GB2312"/>
                <w:b/>
                <w:bCs/>
              </w:rPr>
              <w:t>规划编号</w:t>
            </w:r>
          </w:p>
        </w:tc>
        <w:tc>
          <w:tcPr>
            <w:tcW w:w="705" w:type="dxa"/>
            <w:vMerge w:val="restart"/>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仿宋_GB2312" w:eastAsia="仿宋_GB2312" w:cs="宋体"/>
                <w:b/>
                <w:bCs/>
                <w:sz w:val="24"/>
                <w:szCs w:val="24"/>
              </w:rPr>
            </w:pPr>
            <w:r>
              <w:rPr>
                <w:rFonts w:hint="eastAsia" w:ascii="仿宋_GB2312" w:eastAsia="仿宋_GB2312"/>
                <w:b/>
                <w:bCs/>
              </w:rPr>
              <w:t>土地</w:t>
            </w:r>
          </w:p>
          <w:p>
            <w:pPr>
              <w:adjustRightInd w:val="0"/>
              <w:snapToGrid w:val="0"/>
              <w:spacing w:line="320" w:lineRule="exact"/>
              <w:jc w:val="center"/>
              <w:rPr>
                <w:rFonts w:ascii="仿宋_GB2312" w:eastAsia="仿宋_GB2312" w:cs="宋体"/>
                <w:b/>
                <w:bCs/>
                <w:sz w:val="24"/>
                <w:szCs w:val="24"/>
              </w:rPr>
            </w:pPr>
            <w:r>
              <w:rPr>
                <w:rFonts w:hint="eastAsia" w:ascii="仿宋_GB2312" w:eastAsia="仿宋_GB2312"/>
                <w:b/>
                <w:bCs/>
              </w:rPr>
              <w:t>用途</w:t>
            </w:r>
          </w:p>
        </w:tc>
        <w:tc>
          <w:tcPr>
            <w:tcW w:w="1045" w:type="dxa"/>
            <w:vMerge w:val="restart"/>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b/>
                <w:bCs/>
                <w:sz w:val="24"/>
                <w:szCs w:val="24"/>
              </w:rPr>
            </w:pPr>
            <w:r>
              <w:rPr>
                <w:rFonts w:hint="eastAsia" w:ascii="仿宋_GB2312" w:eastAsia="仿宋_GB2312"/>
                <w:b/>
                <w:bCs/>
              </w:rPr>
              <w:t>宗地使用权面积（</w:t>
            </w:r>
            <w:r>
              <w:rPr>
                <w:rFonts w:hint="eastAsia" w:ascii="宋体" w:hAnsi="宋体"/>
                <w:b/>
                <w:bCs/>
              </w:rPr>
              <w:t>㎡</w:t>
            </w:r>
            <w:r>
              <w:rPr>
                <w:rFonts w:hint="eastAsia" w:ascii="仿宋_GB2312" w:eastAsia="仿宋_GB2312"/>
                <w:b/>
                <w:bCs/>
              </w:rPr>
              <w:t>）</w:t>
            </w:r>
          </w:p>
        </w:tc>
        <w:tc>
          <w:tcPr>
            <w:tcW w:w="4303" w:type="dxa"/>
            <w:gridSpan w:val="5"/>
            <w:tcBorders>
              <w:top w:val="single" w:color="auto" w:sz="4" w:space="0"/>
              <w:left w:val="nil"/>
              <w:bottom w:val="single" w:color="auto" w:sz="4" w:space="0"/>
              <w:right w:val="single" w:color="auto" w:sz="4" w:space="0"/>
            </w:tcBorders>
            <w:vAlign w:val="center"/>
          </w:tcPr>
          <w:p>
            <w:pPr>
              <w:adjustRightInd w:val="0"/>
              <w:snapToGrid w:val="0"/>
              <w:spacing w:line="320" w:lineRule="exact"/>
              <w:ind w:left="-27" w:leftChars="-51" w:hanging="80" w:hangingChars="38"/>
              <w:jc w:val="center"/>
              <w:rPr>
                <w:rFonts w:ascii="仿宋_GB2312" w:eastAsia="仿宋_GB2312" w:cs="宋体"/>
                <w:b/>
                <w:bCs/>
                <w:sz w:val="24"/>
                <w:szCs w:val="24"/>
              </w:rPr>
            </w:pPr>
            <w:r>
              <w:rPr>
                <w:rFonts w:hint="eastAsia" w:ascii="仿宋_GB2312" w:eastAsia="仿宋_GB2312"/>
                <w:b/>
                <w:bCs/>
              </w:rPr>
              <w:t>规划指标要求</w:t>
            </w:r>
          </w:p>
        </w:tc>
        <w:tc>
          <w:tcPr>
            <w:tcW w:w="915" w:type="dxa"/>
            <w:vMerge w:val="restart"/>
            <w:tcBorders>
              <w:top w:val="single" w:color="auto" w:sz="4" w:space="0"/>
              <w:left w:val="nil"/>
              <w:bottom w:val="single" w:color="auto" w:sz="4" w:space="0"/>
              <w:right w:val="single" w:color="auto" w:sz="4" w:space="0"/>
            </w:tcBorders>
            <w:vAlign w:val="center"/>
          </w:tcPr>
          <w:p>
            <w:pPr>
              <w:adjustRightInd w:val="0"/>
              <w:snapToGrid w:val="0"/>
              <w:spacing w:line="320" w:lineRule="exact"/>
              <w:ind w:left="-27" w:leftChars="-51" w:hanging="80" w:hangingChars="38"/>
              <w:jc w:val="center"/>
              <w:rPr>
                <w:rFonts w:ascii="仿宋_GB2312" w:eastAsia="仿宋_GB2312" w:cs="宋体"/>
                <w:b/>
                <w:bCs/>
                <w:sz w:val="24"/>
                <w:szCs w:val="24"/>
              </w:rPr>
            </w:pPr>
            <w:r>
              <w:rPr>
                <w:rFonts w:hint="eastAsia" w:ascii="仿宋_GB2312" w:eastAsia="仿宋_GB2312"/>
                <w:b/>
                <w:bCs/>
              </w:rPr>
              <w:t>出让</w:t>
            </w:r>
          </w:p>
          <w:p>
            <w:pPr>
              <w:adjustRightInd w:val="0"/>
              <w:snapToGrid w:val="0"/>
              <w:spacing w:line="320" w:lineRule="exact"/>
              <w:ind w:left="-27" w:leftChars="-51" w:hanging="80" w:hangingChars="38"/>
              <w:jc w:val="center"/>
              <w:rPr>
                <w:rFonts w:ascii="仿宋_GB2312" w:eastAsia="仿宋_GB2312" w:cs="宋体"/>
                <w:b/>
                <w:bCs/>
                <w:sz w:val="24"/>
                <w:szCs w:val="24"/>
              </w:rPr>
            </w:pPr>
            <w:r>
              <w:rPr>
                <w:rFonts w:hint="eastAsia" w:ascii="仿宋_GB2312" w:eastAsia="仿宋_GB2312"/>
                <w:b/>
                <w:bCs/>
              </w:rPr>
              <w:t>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3"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s="宋体"/>
                <w:b/>
                <w:bCs/>
                <w:sz w:val="24"/>
                <w:szCs w:val="24"/>
              </w:rPr>
            </w:pPr>
          </w:p>
        </w:tc>
        <w:tc>
          <w:tcPr>
            <w:tcW w:w="780" w:type="dxa"/>
            <w:vMerge w:val="continue"/>
            <w:tcBorders>
              <w:top w:val="single" w:color="auto" w:sz="4" w:space="0"/>
              <w:left w:val="nil"/>
              <w:bottom w:val="single" w:color="auto" w:sz="4" w:space="0"/>
              <w:right w:val="single" w:color="auto" w:sz="4" w:space="0"/>
            </w:tcBorders>
            <w:vAlign w:val="center"/>
          </w:tcPr>
          <w:p>
            <w:pPr>
              <w:rPr>
                <w:rFonts w:ascii="仿宋_GB2312" w:eastAsia="仿宋_GB2312" w:cs="宋体"/>
                <w:b/>
                <w:bCs/>
                <w:sz w:val="24"/>
                <w:szCs w:val="24"/>
              </w:rPr>
            </w:pPr>
          </w:p>
        </w:tc>
        <w:tc>
          <w:tcPr>
            <w:tcW w:w="555" w:type="dxa"/>
            <w:vMerge w:val="continue"/>
            <w:tcBorders>
              <w:top w:val="single" w:color="auto" w:sz="4" w:space="0"/>
              <w:left w:val="nil"/>
              <w:bottom w:val="single" w:color="auto" w:sz="4" w:space="0"/>
              <w:right w:val="single" w:color="auto" w:sz="4" w:space="0"/>
            </w:tcBorders>
            <w:vAlign w:val="center"/>
          </w:tcPr>
          <w:p>
            <w:pPr>
              <w:rPr>
                <w:rFonts w:ascii="仿宋_GB2312" w:eastAsia="仿宋_GB2312" w:cs="宋体"/>
                <w:b/>
                <w:bCs/>
                <w:sz w:val="24"/>
                <w:szCs w:val="24"/>
              </w:rPr>
            </w:pPr>
          </w:p>
        </w:tc>
        <w:tc>
          <w:tcPr>
            <w:tcW w:w="705" w:type="dxa"/>
            <w:vMerge w:val="continue"/>
            <w:tcBorders>
              <w:top w:val="single" w:color="auto" w:sz="4" w:space="0"/>
              <w:left w:val="nil"/>
              <w:bottom w:val="single" w:color="auto" w:sz="4" w:space="0"/>
              <w:right w:val="single" w:color="auto" w:sz="4" w:space="0"/>
            </w:tcBorders>
            <w:vAlign w:val="center"/>
          </w:tcPr>
          <w:p>
            <w:pPr>
              <w:rPr>
                <w:rFonts w:ascii="仿宋_GB2312" w:eastAsia="仿宋_GB2312" w:cs="宋体"/>
                <w:b/>
                <w:bCs/>
                <w:sz w:val="24"/>
                <w:szCs w:val="24"/>
              </w:rPr>
            </w:pPr>
          </w:p>
        </w:tc>
        <w:tc>
          <w:tcPr>
            <w:tcW w:w="1045" w:type="dxa"/>
            <w:vMerge w:val="continue"/>
            <w:tcBorders>
              <w:top w:val="single" w:color="auto" w:sz="4" w:space="0"/>
              <w:left w:val="nil"/>
              <w:bottom w:val="single" w:color="auto" w:sz="4" w:space="0"/>
              <w:right w:val="single" w:color="auto" w:sz="4" w:space="0"/>
            </w:tcBorders>
            <w:vAlign w:val="center"/>
          </w:tcPr>
          <w:p>
            <w:pPr>
              <w:rPr>
                <w:rFonts w:ascii="仿宋_GB2312" w:eastAsia="仿宋_GB2312" w:cs="宋体"/>
                <w:b/>
                <w:bCs/>
                <w:sz w:val="24"/>
                <w:szCs w:val="24"/>
              </w:rPr>
            </w:pPr>
          </w:p>
        </w:tc>
        <w:tc>
          <w:tcPr>
            <w:tcW w:w="808"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b/>
                <w:bCs/>
                <w:sz w:val="24"/>
                <w:szCs w:val="24"/>
              </w:rPr>
            </w:pPr>
            <w:r>
              <w:rPr>
                <w:rFonts w:hint="eastAsia" w:ascii="仿宋_GB2312" w:eastAsia="仿宋_GB2312"/>
                <w:b/>
                <w:bCs/>
              </w:rPr>
              <w:t>计算指标用地面积（</w:t>
            </w:r>
            <w:r>
              <w:rPr>
                <w:rFonts w:hint="eastAsia" w:ascii="宋体" w:hAnsi="宋体"/>
                <w:b/>
                <w:bCs/>
              </w:rPr>
              <w:t>㎡</w:t>
            </w:r>
            <w:r>
              <w:rPr>
                <w:rFonts w:hint="eastAsia" w:ascii="仿宋_GB2312" w:eastAsia="仿宋_GB2312"/>
                <w:b/>
                <w:bCs/>
              </w:rPr>
              <w:t>）</w:t>
            </w:r>
          </w:p>
        </w:tc>
        <w:tc>
          <w:tcPr>
            <w:tcW w:w="76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b/>
                <w:bCs/>
                <w:sz w:val="24"/>
                <w:szCs w:val="24"/>
              </w:rPr>
            </w:pPr>
            <w:r>
              <w:rPr>
                <w:rFonts w:hint="eastAsia" w:ascii="仿宋_GB2312" w:eastAsia="仿宋_GB2312"/>
                <w:b/>
                <w:bCs/>
              </w:rPr>
              <w:t>容积率</w:t>
            </w:r>
          </w:p>
        </w:tc>
        <w:tc>
          <w:tcPr>
            <w:tcW w:w="825" w:type="dxa"/>
            <w:tcBorders>
              <w:top w:val="single" w:color="auto" w:sz="4" w:space="0"/>
              <w:left w:val="nil"/>
              <w:bottom w:val="single" w:color="auto" w:sz="4" w:space="0"/>
              <w:right w:val="single" w:color="auto" w:sz="4" w:space="0"/>
            </w:tcBorders>
            <w:vAlign w:val="center"/>
          </w:tcPr>
          <w:p>
            <w:pPr>
              <w:spacing w:line="320" w:lineRule="exact"/>
              <w:ind w:left="89" w:hanging="89" w:hangingChars="42"/>
              <w:jc w:val="center"/>
              <w:rPr>
                <w:rFonts w:ascii="仿宋_GB2312" w:eastAsia="仿宋_GB2312" w:cs="宋体"/>
                <w:b/>
                <w:bCs/>
                <w:sz w:val="24"/>
                <w:szCs w:val="24"/>
              </w:rPr>
            </w:pPr>
            <w:r>
              <w:rPr>
                <w:rFonts w:hint="eastAsia" w:ascii="仿宋_GB2312" w:eastAsia="仿宋_GB2312"/>
                <w:b/>
                <w:bCs/>
              </w:rPr>
              <w:t>建筑</w:t>
            </w:r>
          </w:p>
          <w:p>
            <w:pPr>
              <w:spacing w:line="320" w:lineRule="exact"/>
              <w:ind w:left="89" w:hanging="89" w:hangingChars="42"/>
              <w:jc w:val="center"/>
              <w:rPr>
                <w:rFonts w:ascii="仿宋_GB2312" w:eastAsia="仿宋_GB2312"/>
                <w:b/>
                <w:bCs/>
              </w:rPr>
            </w:pPr>
            <w:r>
              <w:rPr>
                <w:rFonts w:hint="eastAsia" w:ascii="仿宋_GB2312" w:eastAsia="仿宋_GB2312"/>
                <w:b/>
                <w:bCs/>
              </w:rPr>
              <w:t>密度</w:t>
            </w:r>
          </w:p>
          <w:p>
            <w:pPr>
              <w:spacing w:line="320" w:lineRule="exact"/>
              <w:ind w:left="46" w:right="-53" w:rightChars="-25" w:hanging="46" w:hangingChars="22"/>
              <w:jc w:val="center"/>
              <w:rPr>
                <w:rFonts w:ascii="仿宋_GB2312" w:eastAsia="仿宋_GB2312" w:cs="宋体"/>
                <w:b/>
                <w:bCs/>
                <w:sz w:val="24"/>
                <w:szCs w:val="24"/>
              </w:rPr>
            </w:pPr>
            <w:r>
              <w:rPr>
                <w:rFonts w:hint="eastAsia" w:ascii="仿宋_GB2312" w:eastAsia="仿宋_GB2312"/>
                <w:b/>
                <w:bCs/>
              </w:rPr>
              <w:t>（%）</w:t>
            </w:r>
          </w:p>
        </w:tc>
        <w:tc>
          <w:tcPr>
            <w:tcW w:w="840" w:type="dxa"/>
            <w:tcBorders>
              <w:top w:val="single" w:color="auto" w:sz="4" w:space="0"/>
              <w:left w:val="nil"/>
              <w:bottom w:val="single" w:color="auto" w:sz="4" w:space="0"/>
              <w:right w:val="single" w:color="auto" w:sz="4" w:space="0"/>
            </w:tcBorders>
            <w:vAlign w:val="center"/>
          </w:tcPr>
          <w:p>
            <w:pPr>
              <w:spacing w:line="320" w:lineRule="exact"/>
              <w:ind w:left="44" w:right="-53" w:rightChars="-25" w:hanging="44" w:hangingChars="21"/>
              <w:jc w:val="right"/>
              <w:rPr>
                <w:rFonts w:ascii="仿宋_GB2312" w:eastAsia="仿宋_GB2312" w:cs="宋体"/>
                <w:b/>
                <w:bCs/>
                <w:sz w:val="24"/>
                <w:szCs w:val="24"/>
              </w:rPr>
            </w:pPr>
            <w:r>
              <w:rPr>
                <w:rFonts w:hint="eastAsia" w:ascii="仿宋_GB2312" w:eastAsia="仿宋_GB2312"/>
                <w:b/>
                <w:bCs/>
              </w:rPr>
              <w:t>绿地率（%）</w:t>
            </w:r>
          </w:p>
        </w:tc>
        <w:tc>
          <w:tcPr>
            <w:tcW w:w="1065" w:type="dxa"/>
            <w:tcBorders>
              <w:top w:val="single" w:color="auto" w:sz="4" w:space="0"/>
              <w:left w:val="nil"/>
              <w:bottom w:val="single" w:color="auto" w:sz="4" w:space="0"/>
              <w:right w:val="single" w:color="auto" w:sz="4" w:space="0"/>
            </w:tcBorders>
            <w:vAlign w:val="center"/>
          </w:tcPr>
          <w:p>
            <w:pPr>
              <w:spacing w:line="320" w:lineRule="exact"/>
              <w:ind w:left="44" w:right="-53" w:rightChars="-25" w:hanging="44" w:hangingChars="21"/>
              <w:jc w:val="center"/>
              <w:rPr>
                <w:rFonts w:ascii="仿宋_GB2312" w:eastAsia="仿宋_GB2312" w:cs="宋体"/>
                <w:b/>
                <w:bCs/>
                <w:sz w:val="24"/>
                <w:szCs w:val="24"/>
              </w:rPr>
            </w:pPr>
            <w:r>
              <w:rPr>
                <w:rFonts w:hint="eastAsia" w:ascii="仿宋_GB2312" w:eastAsia="仿宋_GB2312"/>
                <w:b/>
                <w:bCs/>
              </w:rPr>
              <w:t>计容积率建筑总面积（</w:t>
            </w:r>
            <w:r>
              <w:rPr>
                <w:rFonts w:hint="eastAsia" w:ascii="宋体" w:hAnsi="宋体"/>
                <w:b/>
                <w:bCs/>
              </w:rPr>
              <w:t>㎡</w:t>
            </w:r>
            <w:r>
              <w:rPr>
                <w:rFonts w:hint="eastAsia" w:ascii="仿宋_GB2312" w:eastAsia="仿宋_GB2312"/>
                <w:b/>
                <w:bCs/>
              </w:rPr>
              <w:t>）</w:t>
            </w:r>
          </w:p>
        </w:tc>
        <w:tc>
          <w:tcPr>
            <w:tcW w:w="915" w:type="dxa"/>
            <w:vMerge w:val="continue"/>
            <w:tcBorders>
              <w:top w:val="single" w:color="auto" w:sz="4" w:space="0"/>
              <w:left w:val="nil"/>
              <w:bottom w:val="single" w:color="auto" w:sz="4" w:space="0"/>
              <w:right w:val="single" w:color="auto" w:sz="4" w:space="0"/>
            </w:tcBorders>
            <w:vAlign w:val="center"/>
          </w:tcPr>
          <w:p>
            <w:pPr>
              <w:rPr>
                <w:rFonts w:ascii="仿宋_GB2312" w:eastAsia="仿宋_GB2312"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6" w:hRule="atLeast"/>
        </w:trPr>
        <w:tc>
          <w:tcPr>
            <w:tcW w:w="8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default" w:ascii="仿宋_GB2312" w:hAnsi="Times New Roman" w:eastAsia="仿宋_GB2312" w:cs="宋体"/>
                <w:szCs w:val="21"/>
                <w:lang w:val="en-US" w:eastAsia="zh-CN"/>
              </w:rPr>
            </w:pPr>
            <w:r>
              <w:rPr>
                <w:rFonts w:hint="eastAsia" w:ascii="仿宋_GB2312" w:hAnsi="Times New Roman" w:eastAsia="仿宋_GB2312"/>
                <w:szCs w:val="21"/>
              </w:rPr>
              <w:t>GP</w:t>
            </w:r>
            <w:r>
              <w:rPr>
                <w:rFonts w:hint="eastAsia" w:ascii="仿宋_GB2312" w:hAnsi="Times New Roman" w:eastAsia="仿宋_GB2312"/>
                <w:szCs w:val="21"/>
                <w:lang w:val="en-US" w:eastAsia="zh-CN"/>
              </w:rPr>
              <w:t>2020</w:t>
            </w:r>
          </w:p>
          <w:p>
            <w:pPr>
              <w:jc w:val="center"/>
              <w:rPr>
                <w:rFonts w:ascii="仿宋_GB2312" w:hAnsi="Times New Roman" w:eastAsia="仿宋_GB2312" w:cs="宋体"/>
                <w:szCs w:val="21"/>
              </w:rPr>
            </w:pPr>
            <w:r>
              <w:rPr>
                <w:rFonts w:hint="eastAsia" w:ascii="仿宋_GB2312" w:hAnsi="Times New Roman" w:eastAsia="仿宋_GB2312"/>
                <w:szCs w:val="21"/>
              </w:rPr>
              <w:t>-</w:t>
            </w:r>
            <w:r>
              <w:rPr>
                <w:rFonts w:hint="eastAsia" w:ascii="仿宋_GB2312" w:hAnsi="Times New Roman" w:eastAsia="仿宋_GB2312"/>
                <w:szCs w:val="21"/>
                <w:lang w:val="en-US" w:eastAsia="zh-CN"/>
              </w:rPr>
              <w:t>33</w:t>
            </w:r>
            <w:r>
              <w:rPr>
                <w:rFonts w:hint="eastAsia" w:ascii="仿宋_GB2312" w:hAnsi="Times New Roman" w:eastAsia="仿宋_GB2312"/>
                <w:szCs w:val="21"/>
              </w:rPr>
              <w:t xml:space="preserve">  </w:t>
            </w: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szCs w:val="21"/>
                <w:lang w:eastAsia="zh-CN"/>
              </w:rPr>
            </w:pPr>
            <w:r>
              <w:rPr>
                <w:rFonts w:hint="eastAsia" w:ascii="仿宋_GB2312" w:hAnsi="Times New Roman" w:eastAsia="仿宋_GB2312"/>
                <w:szCs w:val="21"/>
                <w:lang w:eastAsia="zh-CN"/>
              </w:rPr>
              <w:t>惠</w:t>
            </w:r>
            <w:r>
              <w:rPr>
                <w:rFonts w:hint="eastAsia" w:ascii="仿宋_GB2312" w:hAnsi="Times New Roman" w:eastAsia="仿宋_GB2312"/>
                <w:szCs w:val="21"/>
                <w:lang w:val="en-US" w:eastAsia="zh-CN"/>
              </w:rPr>
              <w:t>城区</w:t>
            </w:r>
            <w:bookmarkStart w:id="0" w:name="_GoBack"/>
            <w:bookmarkEnd w:id="0"/>
            <w:r>
              <w:rPr>
                <w:rFonts w:hint="eastAsia" w:ascii="仿宋_GB2312" w:hAnsi="Times New Roman" w:eastAsia="仿宋_GB2312"/>
                <w:szCs w:val="21"/>
                <w:lang w:eastAsia="zh-CN"/>
              </w:rPr>
              <w:t>高新园</w:t>
            </w:r>
            <w:r>
              <w:rPr>
                <w:rFonts w:hint="eastAsia" w:ascii="仿宋_GB2312" w:hAnsi="Times New Roman" w:eastAsia="仿宋_GB2312"/>
                <w:szCs w:val="21"/>
                <w:lang w:val="en-US" w:eastAsia="zh-CN"/>
              </w:rPr>
              <w:t>三栋中心园南部片区</w:t>
            </w:r>
          </w:p>
        </w:tc>
        <w:tc>
          <w:tcPr>
            <w:tcW w:w="555" w:type="dxa"/>
            <w:tcBorders>
              <w:top w:val="single" w:color="auto" w:sz="4" w:space="0"/>
              <w:left w:val="nil"/>
              <w:bottom w:val="single" w:color="auto" w:sz="4" w:space="0"/>
              <w:right w:val="single" w:color="auto" w:sz="4" w:space="0"/>
            </w:tcBorders>
            <w:vAlign w:val="center"/>
          </w:tcPr>
          <w:p>
            <w:pPr>
              <w:jc w:val="center"/>
              <w:rPr>
                <w:rFonts w:hint="default" w:ascii="仿宋_GB2312" w:hAnsi="Times New Roman" w:eastAsia="仿宋_GB2312" w:cs="宋体"/>
                <w:szCs w:val="21"/>
                <w:lang w:val="en-US" w:eastAsia="zh-CN"/>
              </w:rPr>
            </w:pPr>
            <w:r>
              <w:rPr>
                <w:rFonts w:hint="eastAsia" w:ascii="仿宋_GB2312" w:hAnsi="Times New Roman" w:eastAsia="仿宋_GB2312"/>
                <w:szCs w:val="21"/>
                <w:lang w:val="en-US" w:eastAsia="zh-CN"/>
              </w:rPr>
              <w:t>A-06-01-01</w:t>
            </w:r>
          </w:p>
        </w:tc>
        <w:tc>
          <w:tcPr>
            <w:tcW w:w="705"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jc w:val="center"/>
              <w:rPr>
                <w:rFonts w:ascii="仿宋_GB2312" w:hAnsi="Times New Roman" w:eastAsia="仿宋_GB2312" w:cs="宋体"/>
                <w:szCs w:val="21"/>
              </w:rPr>
            </w:pPr>
            <w:r>
              <w:rPr>
                <w:rFonts w:hint="eastAsia" w:ascii="仿宋_GB2312" w:hAnsi="Times New Roman" w:eastAsia="仿宋_GB2312"/>
                <w:szCs w:val="21"/>
                <w:lang w:eastAsia="zh-CN"/>
              </w:rPr>
              <w:t>物流</w:t>
            </w:r>
            <w:r>
              <w:rPr>
                <w:rFonts w:hint="eastAsia" w:ascii="仿宋_GB2312" w:hAnsi="Times New Roman" w:eastAsia="仿宋_GB2312"/>
                <w:szCs w:val="21"/>
                <w:lang w:val="en-US" w:eastAsia="zh-CN"/>
              </w:rPr>
              <w:t>仓储</w:t>
            </w:r>
            <w:r>
              <w:rPr>
                <w:rFonts w:hint="eastAsia" w:ascii="仿宋_GB2312" w:hAnsi="Times New Roman" w:eastAsia="仿宋_GB2312"/>
                <w:szCs w:val="21"/>
              </w:rPr>
              <w:t>用地</w:t>
            </w:r>
          </w:p>
        </w:tc>
        <w:tc>
          <w:tcPr>
            <w:tcW w:w="1045" w:type="dxa"/>
            <w:tcBorders>
              <w:top w:val="single" w:color="auto" w:sz="4" w:space="0"/>
              <w:left w:val="nil"/>
              <w:bottom w:val="single" w:color="auto" w:sz="4" w:space="0"/>
              <w:right w:val="single" w:color="auto" w:sz="4" w:space="0"/>
            </w:tcBorders>
            <w:vAlign w:val="center"/>
          </w:tcPr>
          <w:p>
            <w:pPr>
              <w:jc w:val="center"/>
              <w:rPr>
                <w:rFonts w:hint="default" w:ascii="仿宋_GB2312" w:hAnsi="Times New Roman" w:eastAsia="仿宋_GB2312" w:cs="宋体"/>
                <w:szCs w:val="21"/>
                <w:lang w:val="en-US" w:eastAsia="zh-CN"/>
              </w:rPr>
            </w:pPr>
            <w:r>
              <w:rPr>
                <w:rFonts w:hint="eastAsia" w:ascii="仿宋_GB2312" w:hAnsi="Times New Roman" w:eastAsia="仿宋_GB2312"/>
                <w:szCs w:val="21"/>
                <w:lang w:val="en-US" w:eastAsia="zh-CN"/>
              </w:rPr>
              <w:t>6548.33</w:t>
            </w:r>
          </w:p>
        </w:tc>
        <w:tc>
          <w:tcPr>
            <w:tcW w:w="808" w:type="dxa"/>
            <w:tcBorders>
              <w:top w:val="single" w:color="auto" w:sz="4" w:space="0"/>
              <w:left w:val="nil"/>
              <w:bottom w:val="single" w:color="auto" w:sz="4" w:space="0"/>
              <w:right w:val="single" w:color="auto" w:sz="4" w:space="0"/>
            </w:tcBorders>
            <w:vAlign w:val="center"/>
          </w:tcPr>
          <w:p>
            <w:pPr>
              <w:jc w:val="center"/>
              <w:rPr>
                <w:rFonts w:hint="default" w:ascii="仿宋_GB2312" w:hAnsi="Times New Roman" w:eastAsia="仿宋_GB2312" w:cs="宋体"/>
                <w:szCs w:val="21"/>
                <w:lang w:val="en-US" w:eastAsia="zh-CN"/>
              </w:rPr>
            </w:pPr>
            <w:r>
              <w:rPr>
                <w:rFonts w:hint="eastAsia" w:ascii="仿宋_GB2312" w:hAnsi="Times New Roman" w:eastAsia="仿宋_GB2312"/>
                <w:szCs w:val="21"/>
                <w:lang w:val="en-US" w:eastAsia="zh-CN"/>
              </w:rPr>
              <w:t>8732</w:t>
            </w:r>
          </w:p>
        </w:tc>
        <w:tc>
          <w:tcPr>
            <w:tcW w:w="765" w:type="dxa"/>
            <w:tcBorders>
              <w:top w:val="single" w:color="auto" w:sz="4" w:space="0"/>
              <w:left w:val="nil"/>
              <w:bottom w:val="single" w:color="auto" w:sz="4" w:space="0"/>
              <w:right w:val="single" w:color="auto" w:sz="4" w:space="0"/>
            </w:tcBorders>
            <w:vAlign w:val="center"/>
          </w:tcPr>
          <w:p>
            <w:pPr>
              <w:ind w:left="-103"/>
              <w:jc w:val="center"/>
              <w:rPr>
                <w:rFonts w:hint="default" w:ascii="仿宋_GB2312" w:hAnsi="Times New Roman" w:eastAsia="仿宋_GB2312" w:cs="宋体"/>
                <w:szCs w:val="21"/>
                <w:lang w:val="en-US" w:eastAsia="zh-CN"/>
              </w:rPr>
            </w:pPr>
            <w:r>
              <w:rPr>
                <w:rFonts w:hint="eastAsia" w:ascii="宋体" w:hAnsi="宋体" w:eastAsia="宋体" w:cs="宋体"/>
                <w:szCs w:val="21"/>
                <w:lang w:val="en-US" w:eastAsia="zh-CN"/>
              </w:rPr>
              <w:t>≥</w:t>
            </w:r>
            <w:r>
              <w:rPr>
                <w:rFonts w:hint="eastAsia" w:ascii="仿宋_GB2312" w:hAnsi="Times New Roman" w:eastAsia="仿宋_GB2312"/>
                <w:szCs w:val="21"/>
                <w:lang w:val="en-US" w:eastAsia="zh-CN"/>
              </w:rPr>
              <w:t>1.2</w:t>
            </w:r>
          </w:p>
        </w:tc>
        <w:tc>
          <w:tcPr>
            <w:tcW w:w="825" w:type="dxa"/>
            <w:tcBorders>
              <w:top w:val="single" w:color="auto" w:sz="4" w:space="0"/>
              <w:left w:val="nil"/>
              <w:bottom w:val="single" w:color="auto" w:sz="4" w:space="0"/>
              <w:right w:val="single" w:color="auto" w:sz="4" w:space="0"/>
            </w:tcBorders>
            <w:vAlign w:val="center"/>
          </w:tcPr>
          <w:p>
            <w:pPr>
              <w:jc w:val="center"/>
              <w:rPr>
                <w:rFonts w:hint="default" w:ascii="仿宋_GB2312" w:hAnsi="Times New Roman" w:eastAsia="仿宋_GB2312" w:cs="宋体"/>
                <w:szCs w:val="21"/>
                <w:lang w:val="en-US" w:eastAsia="zh-CN"/>
              </w:rPr>
            </w:pPr>
            <w:r>
              <w:rPr>
                <w:rFonts w:hint="eastAsia" w:ascii="宋体" w:hAnsi="宋体" w:eastAsia="宋体" w:cs="宋体"/>
                <w:szCs w:val="21"/>
                <w:lang w:val="en-US" w:eastAsia="zh-CN"/>
              </w:rPr>
              <w:t>≥</w:t>
            </w:r>
            <w:r>
              <w:rPr>
                <w:rFonts w:hint="eastAsia" w:ascii="仿宋_GB2312" w:hAnsi="Times New Roman" w:eastAsia="仿宋_GB2312"/>
                <w:szCs w:val="21"/>
                <w:lang w:val="en-US" w:eastAsia="zh-CN"/>
              </w:rPr>
              <w:t>30</w:t>
            </w:r>
          </w:p>
        </w:tc>
        <w:tc>
          <w:tcPr>
            <w:tcW w:w="840" w:type="dxa"/>
            <w:tcBorders>
              <w:top w:val="single" w:color="auto" w:sz="4" w:space="0"/>
              <w:left w:val="nil"/>
              <w:bottom w:val="single" w:color="auto" w:sz="4" w:space="0"/>
              <w:right w:val="single" w:color="auto" w:sz="4" w:space="0"/>
            </w:tcBorders>
            <w:vAlign w:val="center"/>
          </w:tcPr>
          <w:p>
            <w:pPr>
              <w:jc w:val="center"/>
              <w:rPr>
                <w:rFonts w:ascii="仿宋_GB2312" w:hAnsi="Times New Roman" w:eastAsia="仿宋_GB2312" w:cs="宋体"/>
                <w:szCs w:val="21"/>
              </w:rPr>
            </w:pPr>
            <w:r>
              <w:rPr>
                <w:rFonts w:hint="eastAsia" w:ascii="宋体" w:hAnsi="宋体" w:eastAsia="宋体" w:cs="宋体"/>
                <w:szCs w:val="21"/>
                <w:lang w:val="en-US" w:eastAsia="zh-CN"/>
              </w:rPr>
              <w:t>≥</w:t>
            </w:r>
            <w:r>
              <w:rPr>
                <w:rFonts w:hint="eastAsia" w:ascii="仿宋_GB2312" w:hAnsi="Times New Roman" w:eastAsia="仿宋_GB2312"/>
                <w:szCs w:val="21"/>
              </w:rPr>
              <w:t>20</w:t>
            </w:r>
          </w:p>
        </w:tc>
        <w:tc>
          <w:tcPr>
            <w:tcW w:w="1065" w:type="dxa"/>
            <w:tcBorders>
              <w:top w:val="single" w:color="auto" w:sz="4" w:space="0"/>
              <w:left w:val="nil"/>
              <w:bottom w:val="single" w:color="auto" w:sz="4" w:space="0"/>
              <w:right w:val="single" w:color="auto" w:sz="4" w:space="0"/>
            </w:tcBorders>
            <w:vAlign w:val="center"/>
          </w:tcPr>
          <w:p>
            <w:pPr>
              <w:jc w:val="center"/>
              <w:rPr>
                <w:rFonts w:hint="default" w:ascii="仿宋_GB2312" w:hAnsi="Times New Roman" w:eastAsia="仿宋_GB2312" w:cs="宋体"/>
                <w:szCs w:val="21"/>
                <w:lang w:val="en-US" w:eastAsia="zh-CN"/>
              </w:rPr>
            </w:pPr>
            <w:r>
              <w:rPr>
                <w:rFonts w:hint="eastAsia" w:ascii="宋体" w:hAnsi="宋体" w:eastAsia="宋体" w:cs="宋体"/>
                <w:szCs w:val="21"/>
                <w:lang w:val="en-US" w:eastAsia="zh-CN"/>
              </w:rPr>
              <w:t>≥</w:t>
            </w:r>
            <w:r>
              <w:rPr>
                <w:rFonts w:hint="eastAsia" w:ascii="仿宋_GB2312" w:hAnsi="Times New Roman" w:eastAsia="仿宋_GB2312"/>
                <w:szCs w:val="21"/>
                <w:lang w:val="en-US" w:eastAsia="zh-CN"/>
              </w:rPr>
              <w:t>10479</w:t>
            </w:r>
          </w:p>
        </w:tc>
        <w:tc>
          <w:tcPr>
            <w:tcW w:w="915" w:type="dxa"/>
            <w:tcBorders>
              <w:top w:val="single" w:color="auto" w:sz="4" w:space="0"/>
              <w:left w:val="nil"/>
              <w:bottom w:val="single" w:color="auto" w:sz="4" w:space="0"/>
              <w:right w:val="single" w:color="auto" w:sz="4" w:space="0"/>
            </w:tcBorders>
            <w:vAlign w:val="center"/>
          </w:tcPr>
          <w:p>
            <w:pPr>
              <w:jc w:val="center"/>
              <w:rPr>
                <w:rFonts w:ascii="仿宋_GB2312" w:hAnsi="Times New Roman" w:eastAsia="仿宋_GB2312" w:cs="宋体"/>
                <w:szCs w:val="21"/>
              </w:rPr>
            </w:pPr>
            <w:r>
              <w:rPr>
                <w:rFonts w:hint="eastAsia" w:ascii="仿宋_GB2312" w:hAnsi="Times New Roman" w:eastAsia="仿宋_GB2312"/>
                <w:szCs w:val="21"/>
              </w:rPr>
              <w:t>50年</w:t>
            </w:r>
          </w:p>
        </w:tc>
      </w:tr>
    </w:tbl>
    <w:p>
      <w:pPr>
        <w:spacing w:line="360" w:lineRule="auto"/>
        <w:jc w:val="center"/>
        <w:rPr>
          <w:lang w:val="en-US" w:eastAsia="zh-CN"/>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r>
        <w:rPr>
          <w:rFonts w:hint="eastAsia" w:ascii="黑体" w:hAnsi="黑体" w:eastAsia="黑体"/>
          <w:b/>
          <w:bCs/>
          <w:sz w:val="36"/>
          <w:szCs w:val="36"/>
          <w:lang w:val="en-US" w:eastAsia="zh-CN"/>
        </w:rPr>
        <w:t>网</w:t>
      </w:r>
      <w:r>
        <w:rPr>
          <w:rFonts w:hint="eastAsia" w:ascii="黑体" w:hAnsi="黑体" w:eastAsia="黑体"/>
          <w:b/>
          <w:bCs/>
          <w:sz w:val="36"/>
          <w:szCs w:val="36"/>
        </w:rPr>
        <w:t>上挂牌出让地块规划建设指标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- 6 -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1</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pPr>
  </w:p>
  <w:p>
    <w:pPr>
      <w:pStyle w:val="5"/>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D383F"/>
    <w:rsid w:val="0005190D"/>
    <w:rsid w:val="000532BF"/>
    <w:rsid w:val="00080812"/>
    <w:rsid w:val="000A3323"/>
    <w:rsid w:val="00182468"/>
    <w:rsid w:val="001A709C"/>
    <w:rsid w:val="001C4166"/>
    <w:rsid w:val="001F4430"/>
    <w:rsid w:val="00237B99"/>
    <w:rsid w:val="00294C2F"/>
    <w:rsid w:val="002E5376"/>
    <w:rsid w:val="0050441E"/>
    <w:rsid w:val="00544D75"/>
    <w:rsid w:val="00664796"/>
    <w:rsid w:val="006B0A9D"/>
    <w:rsid w:val="00700F46"/>
    <w:rsid w:val="00752F64"/>
    <w:rsid w:val="00775241"/>
    <w:rsid w:val="0085512B"/>
    <w:rsid w:val="0085712E"/>
    <w:rsid w:val="008804AB"/>
    <w:rsid w:val="008B6773"/>
    <w:rsid w:val="009D383F"/>
    <w:rsid w:val="00A01FC2"/>
    <w:rsid w:val="00A205AD"/>
    <w:rsid w:val="00A316C6"/>
    <w:rsid w:val="00A85D25"/>
    <w:rsid w:val="00A86B2B"/>
    <w:rsid w:val="00AA578C"/>
    <w:rsid w:val="00AE0184"/>
    <w:rsid w:val="00B7243E"/>
    <w:rsid w:val="00BD6BF4"/>
    <w:rsid w:val="00D37BBF"/>
    <w:rsid w:val="00D96BF2"/>
    <w:rsid w:val="00E033A5"/>
    <w:rsid w:val="00E643F1"/>
    <w:rsid w:val="00F3605E"/>
    <w:rsid w:val="00F46BB1"/>
    <w:rsid w:val="00F800AB"/>
    <w:rsid w:val="00FB6166"/>
    <w:rsid w:val="01107353"/>
    <w:rsid w:val="0A8B048A"/>
    <w:rsid w:val="1367074F"/>
    <w:rsid w:val="15B0627C"/>
    <w:rsid w:val="1D4B544E"/>
    <w:rsid w:val="1E862B6D"/>
    <w:rsid w:val="1F5D5731"/>
    <w:rsid w:val="210250D1"/>
    <w:rsid w:val="21AF50E3"/>
    <w:rsid w:val="25857A4D"/>
    <w:rsid w:val="2626207D"/>
    <w:rsid w:val="2BB026CB"/>
    <w:rsid w:val="2FAA01E8"/>
    <w:rsid w:val="31DD7547"/>
    <w:rsid w:val="33E8737C"/>
    <w:rsid w:val="35335FA2"/>
    <w:rsid w:val="3E353422"/>
    <w:rsid w:val="41D236FF"/>
    <w:rsid w:val="44383940"/>
    <w:rsid w:val="47F72F28"/>
    <w:rsid w:val="487B7433"/>
    <w:rsid w:val="5A092D1E"/>
    <w:rsid w:val="625E6A33"/>
    <w:rsid w:val="6EB71503"/>
    <w:rsid w:val="70B710E2"/>
    <w:rsid w:val="78AF575C"/>
    <w:rsid w:val="7D8F6EE3"/>
    <w:rsid w:val="7EA447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paragraph" w:customStyle="1" w:styleId="9">
    <w:name w:val="正文1"/>
    <w:basedOn w:val="1"/>
    <w:qFormat/>
    <w:uiPriority w:val="0"/>
    <w:rPr>
      <w:rFonts w:ascii="宋体" w:hAnsi="宋体" w:cs="宋体"/>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579</Words>
  <Characters>3306</Characters>
  <Lines>27</Lines>
  <Paragraphs>7</Paragraphs>
  <TotalTime>50</TotalTime>
  <ScaleCrop>false</ScaleCrop>
  <LinksUpToDate>false</LinksUpToDate>
  <CharactersWithSpaces>3878</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2019-12-12T06:35:00Z</dcterms:created>
  <dc:creator>Administrator</dc:creator>
  <cp:lastModifiedBy>Administrator</cp:lastModifiedBy>
  <cp:lastPrinted>2020-09-03T02:35:44Z</cp:lastPrinted>
  <dcterms:modified xsi:type="dcterms:W3CDTF">2020-09-03T02:56:20Z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