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eastAsia="方正小标宋_GBK"/>
          <w:b/>
          <w:bCs/>
          <w:spacing w:val="3"/>
          <w:sz w:val="48"/>
        </w:rPr>
      </w:pPr>
      <w:r>
        <w:rPr>
          <w:rFonts w:hint="eastAsia" w:ascii="方正小标宋_GBK" w:hAnsi="华文中宋" w:eastAsia="方正小标宋_GBK"/>
          <w:b/>
          <w:bCs/>
          <w:spacing w:val="3"/>
          <w:sz w:val="44"/>
          <w:szCs w:val="44"/>
        </w:rPr>
        <w:t>惠州市国有建设用地使用权网上挂牌</w:t>
      </w:r>
      <w:r>
        <w:rPr>
          <w:rFonts w:hint="eastAsia" w:ascii="方正小标宋_GBK" w:hAnsi="华文中宋" w:eastAsia="方正小标宋_GBK"/>
          <w:b/>
          <w:bCs/>
          <w:sz w:val="44"/>
          <w:szCs w:val="44"/>
        </w:rPr>
        <w:t>出让公告</w:t>
      </w:r>
    </w:p>
    <w:p>
      <w:pPr>
        <w:spacing w:line="520" w:lineRule="exact"/>
        <w:ind w:firstLine="640" w:firstLineChars="200"/>
        <w:jc w:val="center"/>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惠公易土市直[2021]010号</w:t>
      </w:r>
    </w:p>
    <w:p>
      <w:pPr>
        <w:pStyle w:val="2"/>
        <w:rPr>
          <w:rFonts w:hint="eastAsia"/>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根据国土资源部令第</w:t>
      </w:r>
      <w:r>
        <w:rPr>
          <w:rFonts w:hint="eastAsia" w:ascii="Times New Roman" w:hAnsi="Times New Roman" w:eastAsia="仿宋_GB2312" w:cs="Times New Roman"/>
          <w:kern w:val="2"/>
          <w:sz w:val="32"/>
          <w:szCs w:val="22"/>
          <w:lang w:val="en-US" w:eastAsia="zh-CN" w:bidi="ar-SA"/>
        </w:rPr>
        <w:t>39号《招标拍卖挂牌出让国有建设用地使用权规定》和广东省人民政府令第79</w:t>
      </w:r>
      <w:r>
        <w:rPr>
          <w:rFonts w:hint="eastAsia" w:ascii="仿宋_GB2312" w:hAnsi="仿宋_GB2312" w:eastAsia="仿宋_GB2312" w:cs="仿宋_GB2312"/>
          <w:sz w:val="32"/>
          <w:szCs w:val="32"/>
        </w:rPr>
        <w:t>号《广东省土地使用权交易市场管理规定》的规定，经惠州市人民政府批准，惠州市自然资源局决定以网上挂牌方式出让下列一宗国有建设用地使用权，本次国有建设用地使用权网上挂牌出让交易具体事务委托惠州市公共资源交易中心办理。现将有关事项公告如下：</w:t>
      </w:r>
    </w:p>
    <w:p>
      <w:pPr>
        <w:spacing w:line="52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一、网上挂牌出让地块基本情况及规划指标要求（见附表）</w:t>
      </w:r>
    </w:p>
    <w:p>
      <w:pPr>
        <w:spacing w:line="52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二、网上挂牌竞买时间为</w:t>
      </w:r>
      <w:r>
        <w:rPr>
          <w:rFonts w:hint="eastAsia" w:ascii="Times New Roman" w:hAnsi="Times New Roman" w:eastAsia="仿宋_GB2312" w:cs="Times New Roman"/>
          <w:kern w:val="2"/>
          <w:sz w:val="32"/>
          <w:szCs w:val="22"/>
          <w:lang w:val="en-US" w:eastAsia="zh-CN" w:bidi="ar-SA"/>
        </w:rPr>
        <w:t>2021年</w:t>
      </w:r>
      <w:r>
        <w:rPr>
          <w:rFonts w:hint="eastAsia" w:eastAsia="仿宋_GB2312" w:cs="Times New Roman"/>
          <w:kern w:val="2"/>
          <w:sz w:val="32"/>
          <w:szCs w:val="22"/>
          <w:lang w:val="en-US" w:eastAsia="zh-CN" w:bidi="ar-SA"/>
        </w:rPr>
        <w:t>4</w:t>
      </w:r>
      <w:r>
        <w:rPr>
          <w:rFonts w:hint="eastAsia" w:ascii="Times New Roman" w:hAnsi="Times New Roman" w:eastAsia="仿宋_GB2312" w:cs="Times New Roman"/>
          <w:kern w:val="2"/>
          <w:sz w:val="32"/>
          <w:szCs w:val="22"/>
          <w:lang w:val="en-US" w:eastAsia="zh-CN" w:bidi="ar-SA"/>
        </w:rPr>
        <w:t>月</w:t>
      </w:r>
      <w:r>
        <w:rPr>
          <w:rFonts w:hint="eastAsia" w:eastAsia="仿宋_GB2312" w:cs="Times New Roman"/>
          <w:kern w:val="2"/>
          <w:sz w:val="32"/>
          <w:szCs w:val="22"/>
          <w:lang w:val="en-US" w:eastAsia="zh-CN" w:bidi="ar-SA"/>
        </w:rPr>
        <w:t>15</w:t>
      </w:r>
      <w:r>
        <w:rPr>
          <w:rFonts w:hint="eastAsia" w:ascii="Times New Roman" w:hAnsi="Times New Roman" w:eastAsia="仿宋_GB2312" w:cs="Times New Roman"/>
          <w:kern w:val="2"/>
          <w:sz w:val="32"/>
          <w:szCs w:val="22"/>
          <w:lang w:val="en-US" w:eastAsia="zh-CN" w:bidi="ar-SA"/>
        </w:rPr>
        <w:t>日</w:t>
      </w:r>
      <w:r>
        <w:rPr>
          <w:rFonts w:hint="eastAsia" w:eastAsia="仿宋_GB2312" w:cs="Times New Roman"/>
          <w:kern w:val="2"/>
          <w:sz w:val="32"/>
          <w:szCs w:val="22"/>
          <w:lang w:val="en-US" w:eastAsia="zh-CN" w:bidi="ar-SA"/>
        </w:rPr>
        <w:t>9</w:t>
      </w:r>
      <w:r>
        <w:rPr>
          <w:rFonts w:hint="eastAsia" w:ascii="Times New Roman" w:hAnsi="Times New Roman" w:eastAsia="仿宋_GB2312" w:cs="Times New Roman"/>
          <w:kern w:val="2"/>
          <w:sz w:val="32"/>
          <w:szCs w:val="22"/>
          <w:lang w:val="en-US" w:eastAsia="zh-CN" w:bidi="ar-SA"/>
        </w:rPr>
        <w:t>时至2021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eastAsia="仿宋_GB2312" w:cs="Times New Roman"/>
          <w:kern w:val="2"/>
          <w:sz w:val="32"/>
          <w:szCs w:val="22"/>
          <w:lang w:val="en-US" w:eastAsia="zh-CN" w:bidi="ar-SA"/>
        </w:rPr>
        <w:t>28</w:t>
      </w:r>
      <w:r>
        <w:rPr>
          <w:rFonts w:hint="eastAsia" w:ascii="Times New Roman" w:hAnsi="Times New Roman" w:eastAsia="仿宋_GB2312" w:cs="Times New Roman"/>
          <w:kern w:val="2"/>
          <w:sz w:val="32"/>
          <w:szCs w:val="22"/>
          <w:lang w:val="en-US" w:eastAsia="zh-CN" w:bidi="ar-SA"/>
        </w:rPr>
        <w:t>日</w:t>
      </w:r>
      <w:r>
        <w:rPr>
          <w:rFonts w:hint="eastAsia" w:eastAsia="仿宋_GB2312" w:cs="Times New Roman"/>
          <w:kern w:val="2"/>
          <w:sz w:val="32"/>
          <w:szCs w:val="22"/>
          <w:lang w:val="en-US" w:eastAsia="zh-CN" w:bidi="ar-SA"/>
        </w:rPr>
        <w:t>10</w:t>
      </w:r>
      <w:r>
        <w:rPr>
          <w:rFonts w:hint="eastAsia" w:ascii="Times New Roman" w:hAnsi="Times New Roman" w:eastAsia="仿宋_GB2312" w:cs="Times New Roman"/>
          <w:kern w:val="2"/>
          <w:sz w:val="32"/>
          <w:szCs w:val="22"/>
          <w:lang w:val="en-US" w:eastAsia="zh-CN" w:bidi="ar-SA"/>
        </w:rPr>
        <w:t>时</w:t>
      </w:r>
      <w:r>
        <w:rPr>
          <w:rFonts w:hint="eastAsia" w:ascii="仿宋_GB2312" w:hAnsi="仿宋_GB2312" w:eastAsia="仿宋_GB2312" w:cs="仿宋_GB2312"/>
          <w:sz w:val="32"/>
          <w:szCs w:val="32"/>
        </w:rPr>
        <w:t>。</w:t>
      </w:r>
    </w:p>
    <w:p>
      <w:pPr>
        <w:spacing w:line="52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三、挂牌起始价为人民币</w:t>
      </w:r>
      <w:r>
        <w:rPr>
          <w:rFonts w:hint="eastAsia" w:ascii="Times New Roman" w:hAnsi="Times New Roman" w:eastAsia="仿宋_GB2312" w:cs="Times New Roman"/>
          <w:kern w:val="2"/>
          <w:sz w:val="32"/>
          <w:szCs w:val="22"/>
          <w:lang w:val="en-US" w:eastAsia="zh-CN" w:bidi="ar-SA"/>
        </w:rPr>
        <w:t>1700</w:t>
      </w:r>
      <w:r>
        <w:rPr>
          <w:rFonts w:hint="eastAsia" w:ascii="仿宋_GB2312" w:hAnsi="仿宋_GB2312" w:eastAsia="仿宋_GB2312" w:cs="仿宋_GB2312"/>
          <w:sz w:val="32"/>
          <w:szCs w:val="32"/>
        </w:rPr>
        <w:t>万元,每次报价加价幅度为人民币</w:t>
      </w:r>
      <w:r>
        <w:rPr>
          <w:rFonts w:hint="eastAsia" w:ascii="Times New Roman" w:hAnsi="Times New Roman" w:eastAsia="仿宋_GB2312" w:cs="Times New Roman"/>
          <w:kern w:val="2"/>
          <w:sz w:val="32"/>
          <w:szCs w:val="22"/>
          <w:lang w:val="en-US" w:eastAsia="zh-CN" w:bidi="ar-SA"/>
        </w:rPr>
        <w:t>100</w:t>
      </w:r>
      <w:r>
        <w:rPr>
          <w:rFonts w:hint="eastAsia" w:ascii="仿宋_GB2312" w:hAnsi="仿宋_GB2312" w:eastAsia="仿宋_GB2312" w:cs="仿宋_GB2312"/>
          <w:sz w:val="32"/>
          <w:szCs w:val="32"/>
        </w:rPr>
        <w:t>万元的整数倍。</w:t>
      </w:r>
    </w:p>
    <w:p>
      <w:pPr>
        <w:spacing w:line="52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四、中华人民共和国境内外的法人、自然人和其他组织（除法律法规另有规定外）均可申请参加竞买。申请人可以单独申请，也可以联合申请：</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一）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w:t>
      </w:r>
      <w:r>
        <w:rPr>
          <w:rFonts w:hint="eastAsia" w:ascii="仿宋_GB2312" w:hAnsi="仿宋_GB2312" w:eastAsia="仿宋_GB2312" w:cs="仿宋_GB2312"/>
          <w:sz w:val="32"/>
          <w:szCs w:val="32"/>
        </w:rPr>
        <w:t>（即竞得人必须是新公司的唯一股东）。</w:t>
      </w:r>
      <w:r>
        <w:rPr>
          <w:rFonts w:hint="eastAsia" w:hAnsi="仿宋_GB2312" w:cs="仿宋_GB2312"/>
          <w:szCs w:val="32"/>
        </w:rPr>
        <w:t>根据挂牌出让结果，可先与竞得人签订《出让合同》，在竞得人按约定办理完新公司注册登记手续后，再与新公司签订《国有建设用地使用权出让合同变更协议》；也可按约定直接与新公司签订《出让合同》。</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二）联合申请竞买的，联合竞买人在提交竞买申请材料时，须提交一份联合竞买申请书和协议，协议主要规定联合各方的权利和义务、参与竞买的代表人、联合各方的出资比例等。联合竞买申请人竞得土地后须于</w:t>
      </w:r>
      <w:r>
        <w:rPr>
          <w:rFonts w:hint="eastAsia" w:ascii="Times New Roman" w:hAnsi="Times New Roman" w:eastAsia="仿宋_GB2312" w:cs="Times New Roman"/>
          <w:kern w:val="2"/>
          <w:sz w:val="32"/>
          <w:szCs w:val="22"/>
          <w:lang w:val="en-US" w:eastAsia="zh-CN" w:bidi="ar-SA"/>
        </w:rPr>
        <w:t>2</w:t>
      </w:r>
      <w:r>
        <w:rPr>
          <w:rFonts w:hint="eastAsia" w:hAnsi="仿宋_GB2312" w:cs="仿宋_GB2312"/>
          <w:szCs w:val="32"/>
        </w:rPr>
        <w:t>个月内在本市工商行政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五、该宗地竞买保证金可用人民币及外币（暂限于美元、港币）支付。</w:t>
      </w:r>
    </w:p>
    <w:p>
      <w:pPr>
        <w:pStyle w:val="3"/>
        <w:keepNext w:val="0"/>
        <w:keepLines w:val="0"/>
        <w:pageBreakBefore w:val="0"/>
        <w:widowControl w:val="0"/>
        <w:kinsoku/>
        <w:wordWrap/>
        <w:overflowPunct/>
        <w:topLinePunct w:val="0"/>
        <w:bidi w:val="0"/>
        <w:spacing w:before="0" w:line="560" w:lineRule="exact"/>
        <w:jc w:val="both"/>
        <w:textAlignment w:val="auto"/>
        <w:rPr>
          <w:rFonts w:hAnsi="仿宋_GB2312" w:cs="仿宋_GB2312"/>
          <w:szCs w:val="32"/>
        </w:rPr>
      </w:pPr>
      <w:r>
        <w:rPr>
          <w:rFonts w:hint="eastAsia" w:hAnsi="仿宋_GB2312" w:cs="仿宋_GB2312"/>
          <w:szCs w:val="32"/>
        </w:rPr>
        <w:t>六、申请人应具备的其他条件：</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（一）缴交竞买保证金</w:t>
      </w:r>
      <w:r>
        <w:rPr>
          <w:rFonts w:hint="eastAsia" w:ascii="Times New Roman" w:hAnsi="Times New Roman" w:eastAsia="仿宋_GB2312" w:cs="Times New Roman"/>
          <w:kern w:val="2"/>
          <w:sz w:val="32"/>
          <w:szCs w:val="22"/>
          <w:lang w:val="en-US" w:eastAsia="zh-CN" w:bidi="ar-SA"/>
        </w:rPr>
        <w:t>510</w:t>
      </w:r>
      <w:r>
        <w:rPr>
          <w:rFonts w:hint="eastAsia" w:hAnsi="仿宋_GB2312" w:cs="仿宋_GB2312"/>
          <w:szCs w:val="32"/>
        </w:rPr>
        <w:t>万元人民币，如以外币缴交竞买保证金的，须缴交</w:t>
      </w:r>
      <w:r>
        <w:rPr>
          <w:rFonts w:hint="eastAsia" w:ascii="仿宋_GB2312" w:hAnsi="仿宋" w:eastAsia="仿宋_GB2312" w:cs="仿宋_GB2312"/>
          <w:color w:val="000000"/>
          <w:sz w:val="32"/>
          <w:szCs w:val="32"/>
        </w:rPr>
        <w:t>美元</w:t>
      </w:r>
      <w:r>
        <w:rPr>
          <w:rFonts w:hint="eastAsia" w:ascii="Times New Roman" w:hAnsi="Times New Roman" w:eastAsia="仿宋_GB2312" w:cs="Times New Roman"/>
          <w:kern w:val="2"/>
          <w:sz w:val="32"/>
          <w:szCs w:val="22"/>
          <w:lang w:val="en-US" w:eastAsia="zh-CN" w:bidi="ar-SA"/>
        </w:rPr>
        <w:t>80</w:t>
      </w:r>
      <w:r>
        <w:rPr>
          <w:rFonts w:hint="eastAsia" w:ascii="仿宋_GB2312" w:hAnsi="仿宋" w:eastAsia="仿宋_GB2312" w:cs="仿宋_GB2312"/>
          <w:color w:val="000000"/>
          <w:sz w:val="32"/>
          <w:szCs w:val="32"/>
        </w:rPr>
        <w:t>万元</w:t>
      </w:r>
      <w:r>
        <w:rPr>
          <w:rFonts w:hint="eastAsia" w:hAnsi="仿宋" w:cs="仿宋_GB2312"/>
          <w:color w:val="000000"/>
          <w:sz w:val="32"/>
          <w:szCs w:val="32"/>
          <w:lang w:eastAsia="zh-CN"/>
        </w:rPr>
        <w:t>或</w:t>
      </w:r>
      <w:r>
        <w:rPr>
          <w:rFonts w:hint="eastAsia" w:ascii="仿宋_GB2312" w:hAnsi="仿宋" w:eastAsia="仿宋_GB2312" w:cs="仿宋_GB2312"/>
          <w:color w:val="000000"/>
          <w:sz w:val="32"/>
          <w:szCs w:val="32"/>
        </w:rPr>
        <w:t>港币</w:t>
      </w:r>
      <w:r>
        <w:rPr>
          <w:rFonts w:hint="eastAsia" w:ascii="Times New Roman" w:hAnsi="Times New Roman" w:eastAsia="仿宋_GB2312" w:cs="Times New Roman"/>
          <w:kern w:val="2"/>
          <w:sz w:val="32"/>
          <w:szCs w:val="22"/>
          <w:lang w:val="en-US" w:eastAsia="zh-CN" w:bidi="ar-SA"/>
        </w:rPr>
        <w:t>613</w:t>
      </w:r>
      <w:r>
        <w:rPr>
          <w:rFonts w:hint="eastAsia" w:ascii="仿宋_GB2312" w:hAnsi="仿宋" w:eastAsia="仿宋_GB2312" w:cs="仿宋_GB2312"/>
          <w:color w:val="000000"/>
          <w:sz w:val="32"/>
          <w:szCs w:val="32"/>
        </w:rPr>
        <w:t>万元</w:t>
      </w:r>
      <w:r>
        <w:rPr>
          <w:rFonts w:hint="eastAsia" w:hAnsi="仿宋_GB2312" w:cs="仿宋_GB2312"/>
          <w:szCs w:val="32"/>
        </w:rPr>
        <w:t>。</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both"/>
        <w:textAlignment w:val="auto"/>
        <w:rPr>
          <w:rFonts w:hint="eastAsia" w:ascii="仿宋_GB2312" w:hAnsi="仿宋" w:eastAsia="仿宋_GB2312"/>
          <w:sz w:val="32"/>
          <w:szCs w:val="32"/>
        </w:rPr>
      </w:pPr>
      <w:r>
        <w:rPr>
          <w:rFonts w:hint="eastAsia" w:ascii="仿宋_GB2312" w:hAnsi="仿宋" w:eastAsia="仿宋_GB2312"/>
          <w:kern w:val="2"/>
          <w:sz w:val="32"/>
          <w:szCs w:val="32"/>
        </w:rPr>
        <w:t>（</w:t>
      </w:r>
      <w:r>
        <w:rPr>
          <w:rFonts w:hint="eastAsia" w:ascii="仿宋_GB2312" w:hAnsi="仿宋" w:eastAsia="仿宋_GB2312"/>
          <w:kern w:val="2"/>
          <w:sz w:val="32"/>
          <w:szCs w:val="32"/>
          <w:lang w:val="en-US" w:eastAsia="zh-CN"/>
        </w:rPr>
        <w:t>二</w:t>
      </w:r>
      <w:r>
        <w:rPr>
          <w:rFonts w:hint="eastAsia" w:ascii="仿宋_GB2312" w:hAnsi="仿宋" w:eastAsia="仿宋_GB2312"/>
          <w:kern w:val="2"/>
          <w:sz w:val="32"/>
          <w:szCs w:val="32"/>
        </w:rPr>
        <w:t>）</w:t>
      </w:r>
      <w:r>
        <w:rPr>
          <w:rFonts w:hint="eastAsia" w:ascii="仿宋_GB2312" w:hAnsi="仿宋" w:eastAsia="仿宋_GB2312"/>
          <w:sz w:val="32"/>
          <w:szCs w:val="32"/>
        </w:rPr>
        <w:t>存在下列违法违规违约行为之一的企业及其控股股东，不得参与竞买上述地块：</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1、存在伪造公文骗取用地和非法倒卖土地等犯罪行为的；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2、存在非法转让土地使用权等违法行为的；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3、因企业原因造成土地闲置一年以上且至报名日止未处罚完结的；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4、开发建设企业有违背出让合同约定条件开发利用土地情形且至报名日止未处罚完结的；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5、至报名日止仍拖欠政府地价款的;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6、被列入问题楼盘开发企业黑名单的;</w:t>
      </w:r>
    </w:p>
    <w:p>
      <w:pPr>
        <w:pStyle w:val="3"/>
        <w:keepNext w:val="0"/>
        <w:keepLines w:val="0"/>
        <w:pageBreakBefore w:val="0"/>
        <w:widowControl w:val="0"/>
        <w:kinsoku/>
        <w:wordWrap/>
        <w:overflowPunct/>
        <w:topLinePunct w:val="0"/>
        <w:bidi w:val="0"/>
        <w:spacing w:before="0" w:line="560" w:lineRule="exact"/>
        <w:jc w:val="both"/>
        <w:textAlignment w:val="auto"/>
        <w:rPr>
          <w:rFonts w:hint="eastAsia" w:hAnsi="仿宋_GB2312" w:cs="仿宋_GB2312"/>
          <w:szCs w:val="32"/>
        </w:rPr>
      </w:pPr>
      <w:r>
        <w:rPr>
          <w:rFonts w:hint="eastAsia" w:hAnsi="仿宋_GB2312" w:cs="仿宋_GB2312"/>
          <w:szCs w:val="32"/>
        </w:rPr>
        <w:t>7、存在其它被禁止竞买土地行为的。</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七、本次国有建设用地使用权网上挂牌出让为无底价挂牌出让，按照价高者得的原则确定竞得人。</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八、本次网上挂牌出让的详细资料和具体要求，见惠州市公共资源交易中心土地与矿业网上挂牌交易系统（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）。申请人可在网上挂牌交易系统下载挂牌出让公告、须知及相关交易文件，并按上述文件规定的操作程序在网上参加竞买。</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九、有意竞买者可以自行到地块现场踏勘（可在网上挂牌交易系统查阅位置图和现状图）。</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十、申请人应当在网上挂牌出让结束前登陆惠州市公共资源交易中心土地与矿业网上挂牌交易系统并在系统上向惠州市公共资源交易中心提交竞买申请并支付保证金。网上挂牌保证金到账截止时间为</w:t>
      </w:r>
      <w:r>
        <w:rPr>
          <w:rFonts w:hint="eastAsia" w:ascii="Times New Roman" w:hAnsi="Times New Roman" w:eastAsia="仿宋_GB2312" w:cs="Times New Roman"/>
          <w:kern w:val="2"/>
          <w:sz w:val="32"/>
          <w:szCs w:val="22"/>
          <w:lang w:val="en-US" w:eastAsia="zh-CN" w:bidi="ar-SA"/>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bookmarkStart w:id="0" w:name="_GoBack"/>
      <w:bookmarkEnd w:id="0"/>
      <w:r>
        <w:rPr>
          <w:rFonts w:hint="eastAsia" w:ascii="仿宋_GB2312" w:hAnsi="仿宋_GB2312" w:eastAsia="仿宋_GB2312" w:cs="仿宋_GB2312"/>
          <w:sz w:val="32"/>
          <w:szCs w:val="32"/>
        </w:rPr>
        <w:t>日上午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时止。网上挂牌报价时间截止时，经系统询问，有竞买人表示愿意继续竞价的，系统自动进入网上限时竞价程序，通过竞价确定竞得人。</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本次国有建设用地使用权网上挂牌出让只接受网上竞买申请，即通过惠州市公共资源交易中心土地与矿业网上挂牌交易系统进行，不接受电话、邮寄、书面、电子邮件及口头竞买。凡办理数字证书、按要求足额交纳竞买保证金的申请人，方可参加网上挂牌交易活动。</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十二、竞得人签订《成交确认书》后，缴交的保证金中按成交价的10%转作定金，竞得人签订《出让合同》后，定金转作土地出让价款。</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以外币缴纳土地竞买保证金的，成交确认后，将在竞得人支付的外币保证金中扣除成交价款的</w:t>
      </w:r>
      <w:r>
        <w:rPr>
          <w:rFonts w:hint="eastAsia" w:ascii="Times New Roman" w:hAnsi="Times New Roman" w:eastAsia="仿宋_GB2312" w:cs="Times New Roman"/>
          <w:kern w:val="2"/>
          <w:sz w:val="32"/>
          <w:szCs w:val="22"/>
          <w:lang w:val="en-US" w:eastAsia="zh-CN" w:bidi="ar-SA"/>
        </w:rPr>
        <w:t>10%</w:t>
      </w:r>
      <w:r>
        <w:rPr>
          <w:rFonts w:hint="eastAsia" w:ascii="仿宋_GB2312" w:hAnsi="仿宋_GB2312" w:eastAsia="仿宋_GB2312" w:cs="仿宋_GB2312"/>
          <w:sz w:val="32"/>
          <w:szCs w:val="32"/>
        </w:rPr>
        <w:t>（按成交当日汇率结汇）作为受让地块的定金，其余部分原路返回给竞得人，待竞得人按时缴清地价款后，再将定金退回。</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保证金少于成交价</w:t>
      </w:r>
      <w:r>
        <w:rPr>
          <w:rFonts w:hint="eastAsia" w:ascii="Times New Roman" w:hAnsi="Times New Roman" w:eastAsia="仿宋_GB2312" w:cs="Times New Roman"/>
          <w:kern w:val="2"/>
          <w:sz w:val="32"/>
          <w:szCs w:val="22"/>
          <w:lang w:val="en-US" w:eastAsia="zh-CN" w:bidi="ar-SA"/>
        </w:rPr>
        <w:t>10%的，不足部分由竞得人在签订《成交确认书》之日起5个工作日</w:t>
      </w:r>
      <w:r>
        <w:rPr>
          <w:rFonts w:hint="eastAsia" w:ascii="仿宋_GB2312" w:hAnsi="仿宋_GB2312" w:eastAsia="仿宋_GB2312" w:cs="仿宋_GB2312"/>
          <w:sz w:val="32"/>
          <w:szCs w:val="32"/>
        </w:rPr>
        <w:t>内付清。</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十三、其它需要公告的事项</w:t>
      </w:r>
    </w:p>
    <w:p>
      <w:pPr>
        <w:spacing w:line="560" w:lineRule="exact"/>
        <w:ind w:firstLine="640" w:firstLineChars="200"/>
        <w:rPr>
          <w:rFonts w:hint="default" w:ascii="仿宋_GB2312" w:hAnsi="仿宋" w:eastAsia="仿宋_GB2312" w:cs="Times New Roman"/>
          <w:kern w:val="2"/>
          <w:sz w:val="32"/>
          <w:szCs w:val="32"/>
          <w:lang w:val="en-US" w:eastAsia="zh-CN"/>
        </w:rPr>
      </w:pPr>
      <w:r>
        <w:rPr>
          <w:rFonts w:hint="eastAsia" w:ascii="仿宋_GB2312" w:hAnsi="仿宋_GB2312" w:eastAsia="仿宋_GB2312" w:cs="仿宋_GB2312"/>
          <w:sz w:val="32"/>
          <w:szCs w:val="32"/>
        </w:rPr>
        <w:t>（一）</w:t>
      </w:r>
      <w:r>
        <w:rPr>
          <w:rFonts w:eastAsia="仿宋_GB2312"/>
          <w:sz w:val="32"/>
          <w:szCs w:val="32"/>
        </w:rPr>
        <w:t>开发投资总额不少于</w:t>
      </w:r>
      <w:r>
        <w:rPr>
          <w:rFonts w:hint="eastAsia" w:ascii="Times New Roman" w:hAnsi="Times New Roman" w:eastAsia="仿宋_GB2312" w:cs="Times New Roman"/>
          <w:kern w:val="2"/>
          <w:sz w:val="32"/>
          <w:szCs w:val="22"/>
          <w:lang w:val="en-US" w:eastAsia="zh-CN" w:bidi="ar-SA"/>
        </w:rPr>
        <w:t>5700</w:t>
      </w:r>
      <w:r>
        <w:rPr>
          <w:rFonts w:eastAsia="仿宋_GB2312"/>
          <w:sz w:val="32"/>
          <w:szCs w:val="32"/>
        </w:rPr>
        <w:t>万元（含地价,不含地价溢价部分）。</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（二）土地成交价款须以人民币支付,竞得人</w:t>
      </w:r>
      <w:r>
        <w:rPr>
          <w:rFonts w:ascii="仿宋_GB2312" w:hAnsi="仿宋_GB2312" w:eastAsia="仿宋_GB2312" w:cs="仿宋_GB2312"/>
          <w:sz w:val="32"/>
          <w:szCs w:val="32"/>
        </w:rPr>
        <w:t>在签订</w:t>
      </w:r>
      <w:r>
        <w:rPr>
          <w:rFonts w:hint="eastAsia" w:ascii="仿宋_GB2312" w:hAnsi="仿宋_GB2312" w:eastAsia="仿宋_GB2312" w:cs="仿宋_GB2312"/>
          <w:sz w:val="32"/>
          <w:szCs w:val="32"/>
        </w:rPr>
        <w:t>《出让合同》之日起</w:t>
      </w:r>
      <w:r>
        <w:rPr>
          <w:rFonts w:hint="eastAsia" w:ascii="Times New Roman" w:hAnsi="Times New Roman" w:eastAsia="仿宋_GB2312" w:cs="Times New Roman"/>
          <w:kern w:val="2"/>
          <w:sz w:val="32"/>
          <w:szCs w:val="22"/>
          <w:lang w:val="en-US" w:eastAsia="zh-CN" w:bidi="ar-SA"/>
        </w:rPr>
        <w:t>30</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内付清全部成交</w:t>
      </w:r>
      <w:r>
        <w:rPr>
          <w:rFonts w:hint="eastAsia" w:ascii="仿宋_GB2312" w:hAnsi="仿宋_GB2312" w:eastAsia="仿宋_GB2312" w:cs="仿宋_GB2312"/>
          <w:sz w:val="32"/>
          <w:szCs w:val="32"/>
        </w:rPr>
        <w:t>价款。</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（三）该地权利清晰，安置补偿落实到位，没有法律经济纠纷，具备动工开发所必须的基本条件。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2"/>
          <w:sz w:val="32"/>
          <w:szCs w:val="32"/>
          <w:lang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地面广场由取得</w:t>
      </w:r>
      <w:r>
        <w:rPr>
          <w:rFonts w:hint="eastAsia" w:ascii="Times New Roman" w:hAnsi="Times New Roman" w:eastAsia="仿宋_GB2312" w:cs="Times New Roman"/>
          <w:kern w:val="2"/>
          <w:sz w:val="32"/>
          <w:szCs w:val="22"/>
          <w:lang w:val="en-US" w:eastAsia="zh-CN" w:bidi="ar-SA"/>
        </w:rPr>
        <w:t>HNA52-01-01</w:t>
      </w:r>
      <w:r>
        <w:rPr>
          <w:rFonts w:hint="eastAsia" w:ascii="仿宋_GB2312" w:hAnsi="仿宋" w:eastAsia="仿宋_GB2312" w:cs="Times New Roman"/>
          <w:kern w:val="2"/>
          <w:sz w:val="32"/>
          <w:szCs w:val="32"/>
          <w:lang w:val="en-US" w:eastAsia="zh-CN" w:bidi="ar-SA"/>
        </w:rPr>
        <w:t>用地的</w:t>
      </w:r>
      <w:r>
        <w:rPr>
          <w:rFonts w:hint="eastAsia" w:ascii="仿宋_GB2312" w:hAnsi="仿宋" w:eastAsia="仿宋_GB2312"/>
          <w:kern w:val="2"/>
          <w:sz w:val="32"/>
          <w:szCs w:val="32"/>
        </w:rPr>
        <w:t>土地使用权</w:t>
      </w:r>
      <w:r>
        <w:rPr>
          <w:rFonts w:hint="eastAsia" w:ascii="仿宋_GB2312" w:hAnsi="仿宋" w:eastAsia="仿宋_GB2312"/>
          <w:kern w:val="2"/>
          <w:sz w:val="32"/>
          <w:szCs w:val="32"/>
          <w:lang w:eastAsia="zh-CN"/>
        </w:rPr>
        <w:t>者按照政府部门相关要求，与停车库同步规划、同步建设、同步验收交付使用，并无偿移交给政府相关部门。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w:t>
      </w:r>
      <w:r>
        <w:rPr>
          <w:rFonts w:hint="eastAsia" w:ascii="仿宋_GB2312" w:hAnsi="仿宋" w:eastAsia="仿宋_GB2312" w:cs="Times New Roman"/>
          <w:kern w:val="2"/>
          <w:sz w:val="32"/>
          <w:szCs w:val="32"/>
          <w:lang w:val="en-US" w:eastAsia="zh-CN"/>
        </w:rPr>
        <w:t>五</w:t>
      </w:r>
      <w:r>
        <w:rPr>
          <w:rFonts w:hint="eastAsia" w:ascii="仿宋_GB2312" w:hAnsi="仿宋" w:eastAsia="仿宋_GB2312" w:cs="Times New Roman"/>
          <w:kern w:val="2"/>
          <w:sz w:val="32"/>
          <w:szCs w:val="32"/>
          <w:lang w:eastAsia="zh-CN"/>
        </w:rPr>
        <w:t>）竞得人在用地红线内开发建设必须符合城市规划要求，必须按《建设用地规划设计条件》（案卷编号：</w:t>
      </w:r>
      <w:r>
        <w:rPr>
          <w:rFonts w:hint="eastAsia" w:ascii="仿宋_GB2312" w:hAnsi="仿宋" w:eastAsia="仿宋_GB2312" w:cs="Times New Roman"/>
          <w:kern w:val="2"/>
          <w:sz w:val="32"/>
          <w:szCs w:val="32"/>
          <w:lang w:val="en-US" w:eastAsia="zh-CN"/>
        </w:rPr>
        <w:t>PB20200160</w:t>
      </w:r>
      <w:r>
        <w:rPr>
          <w:rFonts w:hint="eastAsia" w:ascii="仿宋_GB2312" w:hAnsi="仿宋" w:eastAsia="仿宋_GB2312" w:cs="Times New Roman"/>
          <w:kern w:val="2"/>
          <w:sz w:val="32"/>
          <w:szCs w:val="32"/>
          <w:lang w:eastAsia="zh-CN"/>
        </w:rPr>
        <w:t>）规划控制指标要求及有关规定进行规划设计。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sz w:val="32"/>
          <w:szCs w:val="32"/>
          <w:lang w:val="en-US" w:eastAsia="zh-CN"/>
        </w:rPr>
        <w:t>六</w:t>
      </w:r>
      <w:r>
        <w:rPr>
          <w:rFonts w:hint="eastAsia" w:ascii="仿宋_GB2312" w:hAnsi="仿宋" w:eastAsia="仿宋_GB2312" w:cs="仿宋_GB2312"/>
          <w:color w:val="000000"/>
          <w:sz w:val="32"/>
          <w:szCs w:val="32"/>
        </w:rPr>
        <w:t>）</w:t>
      </w:r>
      <w:r>
        <w:rPr>
          <w:rFonts w:hint="eastAsia" w:ascii="仿宋_GB2312" w:hAnsi="仿宋_GB2312" w:eastAsia="仿宋_GB2312" w:cs="仿宋_GB2312"/>
          <w:sz w:val="32"/>
          <w:szCs w:val="32"/>
        </w:rPr>
        <w:t>竞得人有下列行为之一的，视为违约，取消竞得人资格，</w:t>
      </w:r>
      <w:r>
        <w:rPr>
          <w:rFonts w:hint="eastAsia" w:ascii="仿宋_GB2312" w:hAnsi="仿宋_GB2312" w:eastAsia="仿宋_GB2312" w:cs="仿宋_GB2312"/>
          <w:sz w:val="32"/>
          <w:szCs w:val="32"/>
          <w:lang w:eastAsia="zh-CN"/>
        </w:rPr>
        <w:t>定金</w:t>
      </w:r>
      <w:r>
        <w:rPr>
          <w:rFonts w:hint="eastAsia" w:ascii="仿宋_GB2312" w:hAnsi="仿宋_GB2312" w:eastAsia="仿宋_GB2312" w:cs="仿宋_GB2312"/>
          <w:sz w:val="32"/>
          <w:szCs w:val="32"/>
          <w:lang w:val="en-US" w:eastAsia="zh-CN"/>
        </w:rPr>
        <w:t>不予退还</w:t>
      </w:r>
      <w:r>
        <w:rPr>
          <w:rFonts w:hint="eastAsia" w:ascii="仿宋_GB2312" w:hAnsi="仿宋_GB2312" w:eastAsia="仿宋_GB2312" w:cs="仿宋_GB2312"/>
          <w:sz w:val="32"/>
          <w:szCs w:val="32"/>
        </w:rPr>
        <w:t>,并由有关部门依法处理;造成损失的，竞得人还应依法承担赔偿责任：</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1、不符合竞买资格条件的；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2、采取行贿、恶意串通等非法手段竞得的；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3、竞得人以其他非法手段竞得的；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4、竞得人逾期或拒绝签订《成交确认书》的；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5、竞得人逾期或拒绝签订《出让合同》的；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6、不按本须知规定提供有关纸质文件材料，或提供虚假文件材料、隐瞒重要事实，引起交易纠纷的；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7、构成违约责任的其他行为。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）挂牌出让价款不含应由竞得人缴纳的契税、印花税等有关费用。</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32"/>
        </w:rPr>
        <w:t>十四、</w:t>
      </w:r>
      <w:r>
        <w:rPr>
          <w:rFonts w:hint="eastAsia" w:ascii="仿宋_GB2312" w:hAnsi="仿宋_GB2312" w:eastAsia="仿宋_GB2312" w:cs="仿宋_GB2312"/>
          <w:sz w:val="32"/>
        </w:rPr>
        <w:t>该宗地使用网上挂牌方式出让，交易全程适用《惠州市国有建设用地使用权和矿业权电子挂牌交易规则》（惠府〔2014〕167号）。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十五、</w:t>
      </w:r>
      <w:r>
        <w:rPr>
          <w:rFonts w:hint="eastAsia" w:ascii="仿宋_GB2312" w:hAnsi="仿宋_GB2312" w:eastAsia="仿宋_GB2312" w:cs="仿宋_GB2312"/>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（一）惠州市自然资源局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联系地址：惠州市</w:t>
      </w:r>
      <w:r>
        <w:rPr>
          <w:rFonts w:hint="eastAsia" w:ascii="仿宋_GB2312" w:hAnsi="仿宋_GB2312" w:eastAsia="仿宋_GB2312" w:cs="仿宋_GB2312"/>
          <w:sz w:val="32"/>
          <w:szCs w:val="32"/>
          <w:lang w:val="en-US" w:eastAsia="zh-CN"/>
        </w:rPr>
        <w:t>江北三新南路7号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叶</w:t>
      </w:r>
      <w:r>
        <w:rPr>
          <w:rFonts w:hint="eastAsia" w:ascii="仿宋_GB2312" w:hAnsi="仿宋_GB2312" w:eastAsia="仿宋_GB2312" w:cs="仿宋_GB2312"/>
          <w:sz w:val="32"/>
          <w:szCs w:val="32"/>
        </w:rPr>
        <w:t>小姐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2896312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）惠州市公共资源交易中心</w:t>
      </w:r>
    </w:p>
    <w:p>
      <w:pPr>
        <w:tabs>
          <w:tab w:val="left" w:pos="720"/>
          <w:tab w:val="left" w:pos="4680"/>
        </w:tabs>
        <w:ind w:left="4318" w:leftChars="304" w:right="-756" w:rightChars="-360" w:hanging="3680" w:hangingChars="115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rPr>
        <w:t>广东省惠州市</w:t>
      </w:r>
      <w:r>
        <w:rPr>
          <w:rFonts w:hint="eastAsia" w:ascii="仿宋_GB2312" w:hAnsi="仿宋_GB2312" w:eastAsia="仿宋_GB2312" w:cs="仿宋_GB2312"/>
          <w:sz w:val="32"/>
          <w:lang w:val="en-US" w:eastAsia="zh-CN"/>
        </w:rPr>
        <w:t>惠城区三新北路31号市民服</w:t>
      </w:r>
    </w:p>
    <w:p>
      <w:pPr>
        <w:tabs>
          <w:tab w:val="left" w:pos="720"/>
          <w:tab w:val="left" w:pos="4680"/>
        </w:tabs>
        <w:ind w:right="-756" w:rightChars="-36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务中心3号楼</w:t>
      </w:r>
    </w:p>
    <w:p>
      <w:pPr>
        <w:tabs>
          <w:tab w:val="left" w:pos="720"/>
          <w:tab w:val="left" w:pos="4680"/>
        </w:tabs>
        <w:ind w:right="-756" w:rightChars="-3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联系人：袁小姐、黄小姐</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7121026、7121042</w:t>
      </w:r>
    </w:p>
    <w:p>
      <w:pPr>
        <w:keepNext w:val="0"/>
        <w:keepLines w:val="0"/>
        <w:pageBreakBefore w:val="0"/>
        <w:kinsoku/>
        <w:wordWrap/>
        <w:overflowPunct/>
        <w:topLinePunct w:val="0"/>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注：本公告同时在下列网站及场所发布</w:t>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中国土地市场网: http://www.landchina.com</w:t>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广东省土地市场网：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"http://www.landgd.com"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http://www.landgd.com</w:t>
      </w:r>
      <w:r>
        <w:rPr>
          <w:rFonts w:hint="eastAsia" w:ascii="仿宋_GB2312" w:hAnsi="仿宋_GB2312" w:eastAsia="仿宋_GB2312" w:cs="仿宋_GB2312"/>
          <w:sz w:val="32"/>
          <w:szCs w:val="32"/>
        </w:rPr>
        <w:fldChar w:fldCharType="end"/>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惠州市自然资源局网站：http://land.huizhou.gov.cn</w:t>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"http://zyjy.huizhou.gov.cn"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http://zyjy.huizhou.gov.cn</w:t>
      </w:r>
      <w:r>
        <w:rPr>
          <w:rFonts w:hint="eastAsia" w:ascii="仿宋_GB2312" w:hAnsi="仿宋_GB2312" w:eastAsia="仿宋_GB2312" w:cs="仿宋_GB2312"/>
          <w:sz w:val="32"/>
          <w:szCs w:val="32"/>
        </w:rPr>
        <w:fldChar w:fldCharType="end"/>
      </w:r>
    </w:p>
    <w:p>
      <w:pPr>
        <w:spacing w:line="52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惠州市公共资源交易中心交易大厅现场。</w:t>
      </w:r>
    </w:p>
    <w:p>
      <w:pPr>
        <w:spacing w:line="520" w:lineRule="exact"/>
        <w:ind w:left="487" w:leftChars="232"/>
        <w:rPr>
          <w:rFonts w:ascii="宋体" w:hAnsi="宋体" w:cs="宋体"/>
          <w:color w:val="696969"/>
          <w:sz w:val="32"/>
          <w:szCs w:val="32"/>
        </w:rPr>
      </w:pPr>
      <w:r>
        <w:rPr>
          <w:rFonts w:hint="eastAsia" w:ascii="仿宋_GB2312" w:hAnsi="仿宋_GB2312" w:eastAsia="仿宋_GB2312" w:cs="仿宋_GB2312"/>
          <w:sz w:val="32"/>
          <w:szCs w:val="32"/>
        </w:rPr>
        <w:t>数字证书办理地址：</w:t>
      </w:r>
      <w:r>
        <w:rPr>
          <w:rFonts w:hint="eastAsia" w:ascii="仿宋_GB2312" w:hAnsi="仿宋_GB2312" w:eastAsia="仿宋_GB2312" w:cs="仿宋_GB2312"/>
          <w:color w:val="000000"/>
          <w:sz w:val="32"/>
          <w:szCs w:val="32"/>
        </w:rPr>
        <w:t>惠州市江北云山西路二号帝景国际商务中心七层18-22房。</w:t>
      </w:r>
    </w:p>
    <w:p>
      <w:pPr>
        <w:spacing w:line="520" w:lineRule="exact"/>
        <w:ind w:firstLine="555"/>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联系电话：0752-2898481</w:t>
      </w:r>
    </w:p>
    <w:p>
      <w:pPr>
        <w:spacing w:line="520" w:lineRule="exact"/>
        <w:ind w:right="640"/>
        <w:rPr>
          <w:rFonts w:hint="eastAsia" w:ascii="仿宋_GB2312" w:hAnsi="仿宋_GB2312" w:eastAsia="仿宋_GB2312" w:cs="仿宋_GB2312"/>
          <w:sz w:val="32"/>
          <w:szCs w:val="32"/>
        </w:rPr>
      </w:pPr>
    </w:p>
    <w:p>
      <w:pPr>
        <w:spacing w:line="520" w:lineRule="exact"/>
        <w:ind w:right="640" w:firstLine="5033" w:firstLineChars="157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惠州市自然资源局</w:t>
      </w:r>
    </w:p>
    <w:p>
      <w:pPr>
        <w:spacing w:line="520" w:lineRule="exact"/>
        <w:ind w:right="640" w:firstLine="4640" w:firstLineChars="1450"/>
        <w:rPr>
          <w:rFonts w:ascii="仿宋_GB2312" w:eastAsia="仿宋_GB2312"/>
          <w:sz w:val="32"/>
          <w:szCs w:val="32"/>
        </w:rPr>
      </w:pPr>
      <w:r>
        <w:rPr>
          <w:rFonts w:hint="eastAsia" w:ascii="仿宋_GB2312" w:hAnsi="仿宋_GB2312" w:eastAsia="仿宋_GB2312" w:cs="仿宋_GB2312"/>
          <w:sz w:val="32"/>
          <w:szCs w:val="32"/>
        </w:rPr>
        <w:t>惠州市公共资源交易中心</w:t>
      </w:r>
    </w:p>
    <w:p>
      <w:pPr>
        <w:pStyle w:val="2"/>
        <w:ind w:firstLine="5120" w:firstLineChars="1600"/>
        <w:rPr>
          <w:rFonts w:hint="default" w:eastAsia="仿宋_GB2312"/>
          <w:lang w:val="en-US" w:eastAsia="zh-CN"/>
        </w:rPr>
        <w:sectPr>
          <w:headerReference r:id="rId3" w:type="default"/>
          <w:footerReference r:id="rId4" w:type="default"/>
          <w:footerReference r:id="rId5" w:type="even"/>
          <w:pgSz w:w="11906" w:h="16838"/>
          <w:pgMar w:top="1440" w:right="1440" w:bottom="1440" w:left="1440" w:header="851" w:footer="992" w:gutter="0"/>
          <w:pgNumType w:fmt="numberInDash"/>
          <w:cols w:space="720" w:num="1"/>
          <w:docGrid w:type="lines" w:linePitch="312" w:charSpace="0"/>
        </w:sectPr>
      </w:pPr>
      <w:r>
        <w:rPr>
          <w:rFonts w:hint="eastAsia" w:ascii="仿宋_GB2312" w:eastAsia="仿宋_GB2312"/>
          <w:sz w:val="32"/>
          <w:szCs w:val="32"/>
          <w:lang w:val="en-US" w:eastAsia="zh-CN"/>
        </w:rPr>
        <w:t>2021年3月24日</w:t>
      </w:r>
    </w:p>
    <w:p>
      <w:pPr>
        <w:spacing w:line="360" w:lineRule="auto"/>
        <w:rPr>
          <w:rFonts w:hint="eastAsia" w:ascii="仿宋_GB2312" w:eastAsia="仿宋_GB2312"/>
          <w:sz w:val="32"/>
          <w:szCs w:val="32"/>
        </w:rPr>
      </w:pPr>
      <w:r>
        <w:rPr>
          <w:rFonts w:hint="eastAsia" w:ascii="黑体" w:hAnsi="黑体" w:eastAsia="黑体"/>
          <w:sz w:val="32"/>
          <w:szCs w:val="32"/>
        </w:rPr>
        <w:t>附表</w:t>
      </w:r>
    </w:p>
    <w:p>
      <w:pPr>
        <w:tabs>
          <w:tab w:val="left" w:pos="9720"/>
        </w:tabs>
        <w:spacing w:line="360" w:lineRule="auto"/>
        <w:jc w:val="center"/>
        <w:rPr>
          <w:rFonts w:hint="eastAsia" w:ascii="方正小标宋_GBK" w:eastAsia="方正小标宋_GBK"/>
          <w:b/>
          <w:sz w:val="36"/>
          <w:szCs w:val="36"/>
        </w:rPr>
      </w:pPr>
      <w:r>
        <w:rPr>
          <w:rFonts w:hint="eastAsia" w:ascii="方正小标宋_GBK" w:eastAsia="方正小标宋_GBK"/>
          <w:b/>
          <w:sz w:val="36"/>
          <w:szCs w:val="36"/>
        </w:rPr>
        <w:t>网上挂牌出让地块规划建设指标</w:t>
      </w:r>
    </w:p>
    <w:tbl>
      <w:tblPr>
        <w:tblStyle w:val="8"/>
        <w:tblW w:w="10515" w:type="dxa"/>
        <w:jc w:val="center"/>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00"/>
        <w:gridCol w:w="788"/>
        <w:gridCol w:w="817"/>
        <w:gridCol w:w="990"/>
        <w:gridCol w:w="1035"/>
        <w:gridCol w:w="1050"/>
        <w:gridCol w:w="660"/>
        <w:gridCol w:w="735"/>
        <w:gridCol w:w="990"/>
        <w:gridCol w:w="94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675"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挂牌地块编号</w:t>
            </w:r>
          </w:p>
        </w:tc>
        <w:tc>
          <w:tcPr>
            <w:tcW w:w="900"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土地</w:t>
            </w:r>
          </w:p>
          <w:p>
            <w:pPr>
              <w:spacing w:line="320" w:lineRule="exact"/>
              <w:jc w:val="center"/>
              <w:rPr>
                <w:rFonts w:hint="eastAsia" w:ascii="仿宋_GB2312" w:eastAsia="仿宋_GB2312"/>
                <w:b/>
                <w:bCs/>
                <w:szCs w:val="21"/>
              </w:rPr>
            </w:pPr>
            <w:r>
              <w:rPr>
                <w:rFonts w:hint="eastAsia" w:ascii="仿宋_GB2312" w:eastAsia="仿宋_GB2312"/>
                <w:b/>
                <w:bCs/>
                <w:szCs w:val="21"/>
              </w:rPr>
              <w:t>位置</w:t>
            </w:r>
          </w:p>
        </w:tc>
        <w:tc>
          <w:tcPr>
            <w:tcW w:w="788"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规划编号</w:t>
            </w:r>
          </w:p>
        </w:tc>
        <w:tc>
          <w:tcPr>
            <w:tcW w:w="817"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土地</w:t>
            </w:r>
          </w:p>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用途</w:t>
            </w:r>
          </w:p>
        </w:tc>
        <w:tc>
          <w:tcPr>
            <w:tcW w:w="990"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宗地使用权面积（</w:t>
            </w:r>
            <w:r>
              <w:rPr>
                <w:rFonts w:hint="eastAsia" w:ascii="宋体" w:hAnsi="宋体" w:cs="宋体"/>
                <w:b/>
                <w:bCs/>
                <w:szCs w:val="21"/>
              </w:rPr>
              <w:t>㎡</w:t>
            </w:r>
            <w:r>
              <w:rPr>
                <w:rFonts w:hint="eastAsia" w:ascii="仿宋_GB2312" w:eastAsia="仿宋_GB2312"/>
                <w:b/>
                <w:bCs/>
                <w:szCs w:val="21"/>
              </w:rPr>
              <w:t>）</w:t>
            </w:r>
          </w:p>
        </w:tc>
        <w:tc>
          <w:tcPr>
            <w:tcW w:w="5415" w:type="dxa"/>
            <w:gridSpan w:val="6"/>
            <w:vAlign w:val="center"/>
          </w:tcPr>
          <w:p>
            <w:pPr>
              <w:adjustRightInd w:val="0"/>
              <w:snapToGrid w:val="0"/>
              <w:spacing w:line="320" w:lineRule="exact"/>
              <w:ind w:left="1" w:leftChars="-89" w:hanging="188" w:hangingChars="89"/>
              <w:jc w:val="center"/>
              <w:rPr>
                <w:rFonts w:hint="eastAsia" w:ascii="仿宋_GB2312" w:eastAsia="仿宋_GB2312"/>
                <w:b/>
                <w:bCs/>
                <w:szCs w:val="21"/>
              </w:rPr>
            </w:pPr>
            <w:r>
              <w:rPr>
                <w:rFonts w:hint="eastAsia" w:ascii="仿宋_GB2312" w:eastAsia="仿宋_GB2312"/>
                <w:b/>
                <w:bCs/>
                <w:szCs w:val="21"/>
              </w:rPr>
              <w:t>规划指标要求</w:t>
            </w:r>
          </w:p>
        </w:tc>
        <w:tc>
          <w:tcPr>
            <w:tcW w:w="930" w:type="dxa"/>
            <w:vMerge w:val="restart"/>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rPr>
              <w:t>出让年限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675" w:type="dxa"/>
            <w:vMerge w:val="continue"/>
            <w:vAlign w:val="center"/>
          </w:tcPr>
          <w:p>
            <w:pPr>
              <w:adjustRightInd w:val="0"/>
              <w:snapToGrid w:val="0"/>
              <w:spacing w:line="320" w:lineRule="exact"/>
              <w:jc w:val="center"/>
              <w:rPr>
                <w:rFonts w:hint="eastAsia" w:ascii="仿宋_GB2312" w:eastAsia="仿宋_GB2312"/>
                <w:b/>
                <w:bCs/>
              </w:rPr>
            </w:pPr>
          </w:p>
        </w:tc>
        <w:tc>
          <w:tcPr>
            <w:tcW w:w="900" w:type="dxa"/>
            <w:vMerge w:val="continue"/>
            <w:vAlign w:val="center"/>
          </w:tcPr>
          <w:p>
            <w:pPr>
              <w:adjustRightInd w:val="0"/>
              <w:snapToGrid w:val="0"/>
              <w:spacing w:line="320" w:lineRule="exact"/>
              <w:jc w:val="center"/>
              <w:rPr>
                <w:rFonts w:hint="eastAsia" w:ascii="仿宋_GB2312" w:eastAsia="仿宋_GB2312"/>
                <w:b/>
                <w:bCs/>
              </w:rPr>
            </w:pPr>
          </w:p>
        </w:tc>
        <w:tc>
          <w:tcPr>
            <w:tcW w:w="788" w:type="dxa"/>
            <w:vMerge w:val="continue"/>
            <w:vAlign w:val="center"/>
          </w:tcPr>
          <w:p>
            <w:pPr>
              <w:adjustRightInd w:val="0"/>
              <w:snapToGrid w:val="0"/>
              <w:spacing w:line="320" w:lineRule="exact"/>
              <w:jc w:val="center"/>
              <w:rPr>
                <w:rFonts w:hint="eastAsia" w:ascii="仿宋_GB2312" w:eastAsia="仿宋_GB2312"/>
                <w:b/>
                <w:bCs/>
              </w:rPr>
            </w:pPr>
          </w:p>
        </w:tc>
        <w:tc>
          <w:tcPr>
            <w:tcW w:w="817" w:type="dxa"/>
            <w:vMerge w:val="continue"/>
            <w:vAlign w:val="center"/>
          </w:tcPr>
          <w:p>
            <w:pPr>
              <w:adjustRightInd w:val="0"/>
              <w:snapToGrid w:val="0"/>
              <w:spacing w:line="320" w:lineRule="exact"/>
              <w:jc w:val="center"/>
              <w:rPr>
                <w:rFonts w:hint="eastAsia" w:ascii="仿宋_GB2312" w:eastAsia="仿宋_GB2312"/>
                <w:b/>
                <w:bCs/>
              </w:rPr>
            </w:pPr>
          </w:p>
        </w:tc>
        <w:tc>
          <w:tcPr>
            <w:tcW w:w="990" w:type="dxa"/>
            <w:vMerge w:val="continue"/>
            <w:vAlign w:val="center"/>
          </w:tcPr>
          <w:p>
            <w:pPr>
              <w:adjustRightInd w:val="0"/>
              <w:snapToGrid w:val="0"/>
              <w:spacing w:line="320" w:lineRule="exact"/>
              <w:jc w:val="center"/>
              <w:rPr>
                <w:rFonts w:hint="eastAsia" w:ascii="仿宋_GB2312" w:eastAsia="仿宋_GB2312"/>
                <w:b/>
                <w:bCs/>
              </w:rPr>
            </w:pPr>
          </w:p>
        </w:tc>
        <w:tc>
          <w:tcPr>
            <w:tcW w:w="1035" w:type="dxa"/>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计算指标用地面积（</w:t>
            </w:r>
            <w:r>
              <w:rPr>
                <w:rFonts w:hint="eastAsia" w:ascii="宋体" w:hAnsi="宋体" w:cs="宋体"/>
                <w:b/>
                <w:bCs/>
                <w:szCs w:val="21"/>
              </w:rPr>
              <w:t>㎡</w:t>
            </w:r>
            <w:r>
              <w:rPr>
                <w:rFonts w:hint="eastAsia" w:ascii="仿宋_GB2312" w:eastAsia="仿宋_GB2312"/>
                <w:b/>
                <w:bCs/>
                <w:szCs w:val="21"/>
              </w:rPr>
              <w:t>）</w:t>
            </w:r>
          </w:p>
        </w:tc>
        <w:tc>
          <w:tcPr>
            <w:tcW w:w="1050" w:type="dxa"/>
            <w:vAlign w:val="center"/>
          </w:tcPr>
          <w:p>
            <w:pPr>
              <w:autoSpaceDE w:val="0"/>
              <w:autoSpaceDN w:val="0"/>
              <w:adjustRightInd w:val="0"/>
              <w:spacing w:line="240" w:lineRule="exact"/>
              <w:jc w:val="center"/>
              <w:rPr>
                <w:rFonts w:hint="eastAsia" w:ascii="仿宋_GB2312" w:eastAsia="仿宋_GB2312"/>
                <w:b/>
                <w:bCs/>
                <w:szCs w:val="21"/>
                <w:lang w:eastAsia="zh-CN"/>
              </w:rPr>
            </w:pPr>
            <w:r>
              <w:rPr>
                <w:rFonts w:hint="eastAsia" w:ascii="仿宋_GB2312" w:eastAsia="仿宋_GB2312"/>
                <w:b/>
                <w:bCs/>
                <w:szCs w:val="21"/>
                <w:lang w:eastAsia="zh-CN"/>
              </w:rPr>
              <w:t>地下室宗地使用权面积</w:t>
            </w:r>
            <w:r>
              <w:rPr>
                <w:rFonts w:hint="eastAsia" w:ascii="仿宋_GB2312" w:eastAsia="仿宋_GB2312"/>
                <w:b/>
                <w:bCs/>
                <w:szCs w:val="21"/>
              </w:rPr>
              <w:t>（</w:t>
            </w:r>
            <w:r>
              <w:rPr>
                <w:rFonts w:hint="eastAsia" w:ascii="宋体" w:hAnsi="宋体" w:cs="宋体"/>
                <w:b/>
                <w:bCs/>
                <w:szCs w:val="21"/>
              </w:rPr>
              <w:t>㎡</w:t>
            </w:r>
            <w:r>
              <w:rPr>
                <w:rFonts w:hint="eastAsia" w:ascii="仿宋_GB2312" w:eastAsia="仿宋_GB2312"/>
                <w:b/>
                <w:bCs/>
                <w:szCs w:val="21"/>
              </w:rPr>
              <w:t>）</w:t>
            </w:r>
          </w:p>
        </w:tc>
        <w:tc>
          <w:tcPr>
            <w:tcW w:w="660" w:type="dxa"/>
            <w:vAlign w:val="center"/>
          </w:tcPr>
          <w:p>
            <w:pPr>
              <w:autoSpaceDE w:val="0"/>
              <w:autoSpaceDN w:val="0"/>
              <w:adjustRightInd w:val="0"/>
              <w:spacing w:line="240" w:lineRule="exact"/>
              <w:jc w:val="center"/>
              <w:rPr>
                <w:rFonts w:hint="default" w:ascii="仿宋_GB2312" w:eastAsia="仿宋_GB2312"/>
                <w:b/>
                <w:bCs/>
                <w:szCs w:val="21"/>
                <w:lang w:val="en-US" w:eastAsia="zh-CN"/>
              </w:rPr>
            </w:pPr>
            <w:r>
              <w:rPr>
                <w:rFonts w:hint="eastAsia" w:ascii="Times New Roman" w:hAnsi="Times New Roman" w:eastAsia="仿宋_GB2312" w:cs="Times New Roman"/>
                <w:b/>
                <w:szCs w:val="21"/>
              </w:rPr>
              <w:t>建筑限高</w:t>
            </w:r>
            <w:r>
              <w:rPr>
                <w:rFonts w:hint="eastAsia" w:ascii="Times New Roman" w:hAnsi="Times New Roman" w:eastAsia="仿宋_GB2312" w:cs="Times New Roman"/>
                <w:b/>
                <w:szCs w:val="21"/>
                <w:lang w:val="en-US" w:eastAsia="zh-CN"/>
              </w:rPr>
              <w:t>(m)</w:t>
            </w:r>
          </w:p>
        </w:tc>
        <w:tc>
          <w:tcPr>
            <w:tcW w:w="735"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建筑密度</w:t>
            </w:r>
          </w:p>
          <w:p>
            <w:pPr>
              <w:autoSpaceDE w:val="0"/>
              <w:autoSpaceDN w:val="0"/>
              <w:adjustRightInd w:val="0"/>
              <w:spacing w:line="240" w:lineRule="exact"/>
              <w:jc w:val="center"/>
              <w:rPr>
                <w:rFonts w:hint="eastAsia" w:ascii="仿宋_GB2312" w:eastAsia="仿宋_GB2312"/>
                <w:b/>
                <w:bCs/>
                <w:kern w:val="2"/>
                <w:sz w:val="21"/>
                <w:szCs w:val="21"/>
                <w:lang w:val="en-US" w:eastAsia="zh-CN" w:bidi="ar-SA"/>
              </w:rPr>
            </w:pPr>
            <w:r>
              <w:rPr>
                <w:rFonts w:hint="eastAsia" w:ascii="宋体" w:hAnsi="宋体" w:cs="宋体"/>
                <w:b/>
                <w:szCs w:val="21"/>
              </w:rPr>
              <w:t>（％）</w:t>
            </w:r>
          </w:p>
        </w:tc>
        <w:tc>
          <w:tcPr>
            <w:tcW w:w="990" w:type="dxa"/>
            <w:vAlign w:val="center"/>
          </w:tcPr>
          <w:p>
            <w:pPr>
              <w:autoSpaceDE w:val="0"/>
              <w:autoSpaceDN w:val="0"/>
              <w:adjustRightInd w:val="0"/>
              <w:spacing w:line="240" w:lineRule="exact"/>
              <w:jc w:val="center"/>
              <w:rPr>
                <w:rFonts w:hint="eastAsia" w:ascii="仿宋_GB2312" w:eastAsia="仿宋_GB2312"/>
                <w:b/>
                <w:bCs/>
                <w:lang w:eastAsia="zh-CN"/>
              </w:rPr>
            </w:pPr>
            <w:r>
              <w:rPr>
                <w:rFonts w:hint="eastAsia" w:ascii="仿宋_GB2312" w:eastAsia="仿宋_GB2312"/>
                <w:b/>
                <w:bCs/>
                <w:lang w:eastAsia="zh-CN"/>
              </w:rPr>
              <w:t>机动车停车位（个）</w:t>
            </w:r>
          </w:p>
        </w:tc>
        <w:tc>
          <w:tcPr>
            <w:tcW w:w="945" w:type="dxa"/>
            <w:vAlign w:val="center"/>
          </w:tcPr>
          <w:p>
            <w:pPr>
              <w:spacing w:line="320" w:lineRule="exact"/>
              <w:ind w:left="44" w:right="-53" w:rightChars="-25" w:hanging="44" w:hangingChars="21"/>
              <w:jc w:val="center"/>
              <w:rPr>
                <w:rFonts w:hint="eastAsia" w:ascii="仿宋_GB2312" w:eastAsia="仿宋_GB2312"/>
                <w:b/>
                <w:bCs/>
              </w:rPr>
            </w:pPr>
            <w:r>
              <w:rPr>
                <w:rFonts w:hint="eastAsia" w:ascii="仿宋_GB2312" w:eastAsia="仿宋_GB2312"/>
                <w:b/>
                <w:bCs/>
                <w:szCs w:val="21"/>
              </w:rPr>
              <w:t>适建性</w:t>
            </w:r>
          </w:p>
          <w:p>
            <w:pPr>
              <w:autoSpaceDE w:val="0"/>
              <w:autoSpaceDN w:val="0"/>
              <w:adjustRightInd w:val="0"/>
              <w:spacing w:line="240" w:lineRule="exact"/>
              <w:jc w:val="center"/>
              <w:rPr>
                <w:rFonts w:hint="eastAsia" w:ascii="仿宋_GB2312" w:eastAsia="仿宋_GB2312"/>
                <w:b/>
                <w:bCs/>
              </w:rPr>
            </w:pPr>
          </w:p>
        </w:tc>
        <w:tc>
          <w:tcPr>
            <w:tcW w:w="930" w:type="dxa"/>
            <w:vMerge w:val="continue"/>
            <w:vAlign w:val="center"/>
          </w:tcPr>
          <w:p>
            <w:pPr>
              <w:autoSpaceDE w:val="0"/>
              <w:autoSpaceDN w:val="0"/>
              <w:adjustRightInd w:val="0"/>
              <w:spacing w:line="240" w:lineRule="exact"/>
              <w:jc w:val="center"/>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675" w:type="dxa"/>
            <w:tcMar>
              <w:left w:w="0" w:type="dxa"/>
              <w:right w:w="0" w:type="dxa"/>
            </w:tcMar>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GP2021</w:t>
            </w:r>
          </w:p>
          <w:p>
            <w:pPr>
              <w:jc w:val="center"/>
              <w:rPr>
                <w:rFonts w:hint="default" w:ascii="仿宋_GB2312" w:hAnsi="Times New Roman" w:eastAsia="仿宋_GB2312"/>
                <w:szCs w:val="21"/>
                <w:lang w:val="en-US" w:eastAsia="zh-CN"/>
              </w:rPr>
            </w:pPr>
            <w:r>
              <w:rPr>
                <w:rFonts w:hint="eastAsia" w:ascii="仿宋_GB2312" w:eastAsia="仿宋_GB2312"/>
                <w:szCs w:val="21"/>
                <w:lang w:val="en-US" w:eastAsia="zh-CN"/>
              </w:rPr>
              <w:t>-10</w:t>
            </w:r>
          </w:p>
        </w:tc>
        <w:tc>
          <w:tcPr>
            <w:tcW w:w="900" w:type="dxa"/>
            <w:vAlign w:val="center"/>
          </w:tcPr>
          <w:p>
            <w:pPr>
              <w:ind w:leftChars="-51" w:right="-118" w:rightChars="-56" w:hanging="107" w:hangingChars="51"/>
              <w:jc w:val="center"/>
              <w:rPr>
                <w:rFonts w:hint="eastAsia" w:ascii="仿宋_GB2312" w:hAnsi="Times New Roman" w:eastAsia="仿宋_GB2312" w:cs="Times New Roman"/>
                <w:szCs w:val="21"/>
                <w:lang w:val="en-US" w:eastAsia="zh-CN"/>
              </w:rPr>
            </w:pPr>
            <w:r>
              <w:rPr>
                <w:rFonts w:hint="eastAsia" w:ascii="仿宋_GB2312" w:eastAsia="仿宋_GB2312" w:cs="Times New Roman"/>
                <w:szCs w:val="21"/>
                <w:lang w:val="en-US" w:eastAsia="zh-CN"/>
              </w:rPr>
              <w:t>惠州市惠城区</w:t>
            </w:r>
            <w:r>
              <w:rPr>
                <w:rFonts w:hint="eastAsia" w:ascii="仿宋_GB2312" w:hAnsi="Times New Roman" w:eastAsia="仿宋_GB2312" w:cs="Times New Roman"/>
                <w:szCs w:val="21"/>
                <w:lang w:eastAsia="zh-CN"/>
              </w:rPr>
              <w:t>河南岸</w:t>
            </w:r>
            <w:r>
              <w:rPr>
                <w:rFonts w:hint="eastAsia" w:ascii="仿宋_GB2312" w:hAnsi="Times New Roman" w:eastAsia="仿宋_GB2312" w:cs="Times New Roman"/>
                <w:szCs w:val="21"/>
                <w:lang w:val="en-US" w:eastAsia="zh-CN"/>
              </w:rPr>
              <w:t>HNA52</w:t>
            </w:r>
          </w:p>
          <w:p>
            <w:pPr>
              <w:jc w:val="center"/>
              <w:rPr>
                <w:rFonts w:hint="default" w:ascii="仿宋_GB2312" w:hAnsi="Times New Roman" w:eastAsia="仿宋_GB2312"/>
                <w:szCs w:val="21"/>
                <w:lang w:val="en-US" w:eastAsia="zh-CN"/>
              </w:rPr>
            </w:pPr>
            <w:r>
              <w:rPr>
                <w:rFonts w:hint="eastAsia" w:ascii="仿宋_GB2312" w:hAnsi="Times New Roman" w:eastAsia="仿宋_GB2312" w:cs="Times New Roman"/>
                <w:szCs w:val="21"/>
                <w:lang w:val="en-US" w:eastAsia="zh-CN"/>
              </w:rPr>
              <w:t>-01-01</w:t>
            </w:r>
            <w:r>
              <w:rPr>
                <w:rFonts w:hint="eastAsia" w:ascii="仿宋_GB2312" w:eastAsia="仿宋_GB2312" w:cs="Times New Roman"/>
                <w:szCs w:val="21"/>
                <w:lang w:val="en-US" w:eastAsia="zh-CN"/>
              </w:rPr>
              <w:t>地块</w:t>
            </w:r>
          </w:p>
        </w:tc>
        <w:tc>
          <w:tcPr>
            <w:tcW w:w="788" w:type="dxa"/>
            <w:vAlign w:val="center"/>
          </w:tcPr>
          <w:p>
            <w:pPr>
              <w:ind w:leftChars="-51" w:right="-118" w:rightChars="-56" w:hanging="107" w:hangingChars="51"/>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HNA52</w:t>
            </w:r>
          </w:p>
          <w:p>
            <w:pPr>
              <w:ind w:leftChars="-51" w:right="-118" w:rightChars="-56" w:hanging="107" w:hangingChars="51"/>
              <w:jc w:val="center"/>
              <w:rPr>
                <w:rFonts w:hint="eastAsia" w:ascii="仿宋_GB2312" w:hAnsi="仿宋_GB2312" w:eastAsia="仿宋_GB2312" w:cs="仿宋_GB2312"/>
                <w:sz w:val="28"/>
                <w:szCs w:val="28"/>
                <w:lang w:eastAsia="zh-CN"/>
              </w:rPr>
            </w:pPr>
            <w:r>
              <w:rPr>
                <w:rFonts w:hint="eastAsia" w:ascii="仿宋_GB2312" w:hAnsi="Times New Roman" w:eastAsia="仿宋_GB2312" w:cs="Times New Roman"/>
                <w:szCs w:val="21"/>
                <w:lang w:val="en-US" w:eastAsia="zh-CN"/>
              </w:rPr>
              <w:t>-01-01</w:t>
            </w:r>
          </w:p>
        </w:tc>
        <w:tc>
          <w:tcPr>
            <w:tcW w:w="817" w:type="dxa"/>
            <w:tcMar>
              <w:left w:w="0" w:type="dxa"/>
              <w:right w:w="0" w:type="dxa"/>
            </w:tcMar>
            <w:vAlign w:val="center"/>
          </w:tcPr>
          <w:p>
            <w:pPr>
              <w:jc w:val="center"/>
              <w:rPr>
                <w:rFonts w:hint="eastAsia" w:ascii="仿宋_GB2312" w:hAnsi="Times New Roman" w:eastAsia="仿宋_GB2312"/>
                <w:szCs w:val="21"/>
              </w:rPr>
            </w:pPr>
            <w:r>
              <w:rPr>
                <w:rFonts w:hint="eastAsia" w:ascii="仿宋_GB2312" w:hAnsi="Times New Roman" w:eastAsia="仿宋_GB2312"/>
                <w:szCs w:val="21"/>
                <w:lang w:eastAsia="zh-CN"/>
              </w:rPr>
              <w:t>广场用地兼容社会停车场</w:t>
            </w:r>
            <w:r>
              <w:rPr>
                <w:rFonts w:hint="eastAsia" w:ascii="仿宋_GB2312" w:hAnsi="Times New Roman" w:eastAsia="仿宋_GB2312"/>
                <w:szCs w:val="21"/>
              </w:rPr>
              <w:t>用地</w:t>
            </w:r>
          </w:p>
        </w:tc>
        <w:tc>
          <w:tcPr>
            <w:tcW w:w="990"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1144.84</w:t>
            </w:r>
          </w:p>
        </w:tc>
        <w:tc>
          <w:tcPr>
            <w:tcW w:w="1035"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3370.87</w:t>
            </w:r>
          </w:p>
        </w:tc>
        <w:tc>
          <w:tcPr>
            <w:tcW w:w="1050"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2819.86</w:t>
            </w:r>
          </w:p>
        </w:tc>
        <w:tc>
          <w:tcPr>
            <w:tcW w:w="660"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eastAsia="zh-CN"/>
              </w:rPr>
              <w:t>≤</w:t>
            </w:r>
            <w:r>
              <w:rPr>
                <w:rFonts w:hint="eastAsia" w:ascii="仿宋_GB2312" w:hAnsi="Times New Roman" w:eastAsia="仿宋_GB2312" w:cs="Times New Roman"/>
                <w:szCs w:val="21"/>
                <w:lang w:val="en-US" w:eastAsia="zh-CN"/>
              </w:rPr>
              <w:t>18</w:t>
            </w:r>
          </w:p>
        </w:tc>
        <w:tc>
          <w:tcPr>
            <w:tcW w:w="735"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eastAsia="zh-CN"/>
              </w:rPr>
              <w:t>≤</w:t>
            </w:r>
            <w:r>
              <w:rPr>
                <w:rFonts w:hint="eastAsia" w:ascii="仿宋_GB2312" w:hAnsi="Times New Roman" w:eastAsia="仿宋_GB2312" w:cs="Times New Roman"/>
                <w:szCs w:val="21"/>
                <w:lang w:val="en-US" w:eastAsia="zh-CN"/>
              </w:rPr>
              <w:t>34</w:t>
            </w:r>
          </w:p>
        </w:tc>
        <w:tc>
          <w:tcPr>
            <w:tcW w:w="990" w:type="dxa"/>
            <w:vAlign w:val="center"/>
          </w:tcPr>
          <w:p>
            <w:pPr>
              <w:jc w:val="center"/>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lang w:val="en-US" w:eastAsia="zh-CN"/>
              </w:rPr>
              <w:t>地上+地下机械式立体停车楼≥400</w:t>
            </w:r>
          </w:p>
        </w:tc>
        <w:tc>
          <w:tcPr>
            <w:tcW w:w="945"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广场及停车楼</w:t>
            </w:r>
          </w:p>
        </w:tc>
        <w:tc>
          <w:tcPr>
            <w:tcW w:w="930"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交通服务场站用地50年</w:t>
            </w:r>
          </w:p>
        </w:tc>
      </w:tr>
    </w:tbl>
    <w:p>
      <w:pPr>
        <w:pStyle w:val="2"/>
        <w:rPr>
          <w:rFonts w:hint="eastAsia"/>
        </w:rPr>
      </w:pPr>
    </w:p>
    <w:p>
      <w:pPr>
        <w:tabs>
          <w:tab w:val="left" w:pos="11340"/>
        </w:tabs>
        <w:spacing w:line="600" w:lineRule="exact"/>
        <w:rPr>
          <w:rFonts w:hint="eastAsia" w:ascii="仿宋_GB2312" w:eastAsia="仿宋_GB2312"/>
          <w:sz w:val="32"/>
          <w:szCs w:val="32"/>
        </w:rPr>
      </w:pPr>
    </w:p>
    <w:p>
      <w:pPr>
        <w:pStyle w:val="2"/>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- 9 -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rPr>
    </w:pPr>
  </w:p>
  <w:p>
    <w:pPr>
      <w:pStyle w:val="5"/>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D788F"/>
    <w:rsid w:val="07CC4D7A"/>
    <w:rsid w:val="0F61459D"/>
    <w:rsid w:val="145034DB"/>
    <w:rsid w:val="16E27C0C"/>
    <w:rsid w:val="1ED1075A"/>
    <w:rsid w:val="1EE809D5"/>
    <w:rsid w:val="225721C1"/>
    <w:rsid w:val="285D788F"/>
    <w:rsid w:val="34E24125"/>
    <w:rsid w:val="4D04417C"/>
    <w:rsid w:val="4DF178BA"/>
    <w:rsid w:val="543F4244"/>
    <w:rsid w:val="5D8563B2"/>
    <w:rsid w:val="620E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18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2021-03-19T08:02:00Z</dcterms:created>
  <dc:creator>袁秀玲</dc:creator>
  <cp:lastModifiedBy>黄春枚</cp:lastModifiedBy>
  <cp:lastPrinted>2021-03-25T01:02:08Z</cp:lastPrinted>
  <dcterms:modified xsi:type="dcterms:W3CDTF">2021-03-25T01:03:27Z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