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出让公告</w:t>
      </w:r>
    </w:p>
    <w:p>
      <w:pPr>
        <w:spacing w:line="520" w:lineRule="exact"/>
        <w:ind w:firstLine="640" w:firstLineChars="200"/>
        <w:jc w:val="center"/>
        <w:rPr>
          <w:rFonts w:hint="eastAsia" w:ascii="仿宋_GB2312" w:eastAsia="仿宋_GB2312"/>
          <w:sz w:val="32"/>
          <w:szCs w:val="32"/>
        </w:rPr>
      </w:pPr>
      <w:r>
        <w:rPr>
          <w:rFonts w:hint="eastAsia" w:ascii="仿宋_GB2312" w:eastAsia="仿宋_GB2312"/>
          <w:sz w:val="32"/>
          <w:szCs w:val="32"/>
        </w:rPr>
        <w:t>惠公易土市直[20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050</w:t>
      </w:r>
      <w:r>
        <w:rPr>
          <w:rFonts w:hint="eastAsia" w:ascii="仿宋_GB2312" w:eastAsia="仿宋_GB2312"/>
          <w:sz w:val="32"/>
          <w:szCs w:val="32"/>
        </w:rPr>
        <w:t>号</w:t>
      </w:r>
    </w:p>
    <w:p>
      <w:pPr>
        <w:spacing w:line="52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根据国土资源部令第39号《招标拍卖挂牌出让国有建设用地使用权规定》和广东省人民政府令第79号《广东省土地使用权交易市场管理规定》的规定，经惠州市人民政府批准，惠州市</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自然资源局决定以网上挂牌方式出让下列一宗国有建设用地使用权，本次国有建设用地使用权网上挂牌出让交易具体事务委托惠州市公共资源交易中心办理。现将有关事项公告如下：</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三、挂牌起始价为人民币</w:t>
      </w:r>
      <w:r>
        <w:rPr>
          <w:rFonts w:hint="eastAsia" w:ascii="仿宋_GB2312" w:hAnsi="仿宋" w:eastAsia="仿宋_GB2312"/>
          <w:sz w:val="32"/>
          <w:szCs w:val="32"/>
          <w:lang w:val="en-US" w:eastAsia="zh-CN"/>
        </w:rPr>
        <w:t>45680</w:t>
      </w:r>
      <w:r>
        <w:rPr>
          <w:rFonts w:hint="eastAsia" w:ascii="仿宋_GB2312" w:hAnsi="仿宋_GB2312" w:eastAsia="仿宋_GB2312" w:cs="仿宋_GB2312"/>
          <w:sz w:val="32"/>
          <w:szCs w:val="32"/>
        </w:rPr>
        <w:t>万元,每次报价加价幅度为人民币</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万元的整数倍。</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rPr>
      </w:pPr>
      <w:r>
        <w:rPr>
          <w:rFonts w:hint="eastAsia" w:hAnsi="仿宋_GB2312" w:cs="仿宋_GB2312"/>
          <w:szCs w:val="32"/>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w:t>
      </w:r>
      <w:r>
        <w:rPr>
          <w:rFonts w:hint="eastAsia" w:ascii="Times New Roman" w:hAnsi="Times New Roman"/>
          <w:lang w:val="en-US" w:eastAsia="zh-CN"/>
        </w:rPr>
        <w:t>（即竞得人必须是新公司的唯一股东）</w:t>
      </w:r>
      <w:r>
        <w:rPr>
          <w:rFonts w:hint="default" w:ascii="Times New Roman" w:hAnsi="Times New Roman"/>
          <w:lang w:val="en-US" w:eastAsia="zh-CN"/>
        </w:rPr>
        <w:t>。</w:t>
      </w:r>
      <w:r>
        <w:rPr>
          <w:rFonts w:hint="eastAsia" w:hAnsi="仿宋_GB2312" w:cs="仿宋_GB2312"/>
          <w:szCs w:val="32"/>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Ansi="仿宋_GB2312" w:cs="仿宋_GB2312"/>
          <w:szCs w:val="32"/>
        </w:rPr>
      </w:pPr>
      <w:r>
        <w:rPr>
          <w:rFonts w:hint="eastAsia" w:hAnsi="仿宋_GB2312" w:cs="仿宋_GB2312"/>
          <w:szCs w:val="32"/>
          <w:lang w:val="en-US" w:eastAsia="zh-CN"/>
        </w:rPr>
        <w:t>五</w:t>
      </w:r>
      <w:r>
        <w:rPr>
          <w:rFonts w:hint="eastAsia" w:hAnsi="仿宋_GB2312" w:cs="仿宋_GB2312"/>
          <w:szCs w:val="32"/>
        </w:rPr>
        <w:t>、申请人应具备的其他条件：</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（一）缴交竞买保证金</w:t>
      </w:r>
      <w:r>
        <w:rPr>
          <w:rFonts w:hint="eastAsia" w:hAnsi="仿宋"/>
          <w:kern w:val="2"/>
          <w:szCs w:val="32"/>
          <w:lang w:val="en-US" w:eastAsia="zh-CN"/>
        </w:rPr>
        <w:t>9136</w:t>
      </w:r>
      <w:r>
        <w:rPr>
          <w:rFonts w:hint="eastAsia" w:hAnsi="仿宋_GB2312" w:cs="仿宋_GB2312"/>
          <w:szCs w:val="32"/>
        </w:rPr>
        <w:t>万元人民币。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 w:eastAsia="仿宋_GB2312"/>
          <w:sz w:val="32"/>
          <w:szCs w:val="32"/>
        </w:rPr>
        <w:t>竞得人在用地红线内开发建设必须符合城市规划要求，必须按</w:t>
      </w:r>
      <w:r>
        <w:rPr>
          <w:rFonts w:hint="eastAsia" w:eastAsia="仿宋_GB2312"/>
          <w:kern w:val="0"/>
          <w:sz w:val="32"/>
          <w:szCs w:val="32"/>
        </w:rPr>
        <w:t>《规划设计条件告知书》（案卷编号：PB20180153）及《关于高新科技产业园南部片区B-12-01地块规划要点核实的函》（HCPB20200004）</w:t>
      </w:r>
      <w:r>
        <w:rPr>
          <w:rFonts w:hint="eastAsia" w:ascii="仿宋_GB2312" w:hAnsi="仿宋" w:eastAsia="仿宋_GB2312"/>
          <w:sz w:val="32"/>
          <w:szCs w:val="32"/>
        </w:rPr>
        <w:t>规划控制指标要求及有关规定进行规划设计。</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w:t>
      </w:r>
      <w:r>
        <w:rPr>
          <w:rFonts w:hint="eastAsia" w:hAnsi="仿宋_GB2312" w:cs="仿宋_GB2312"/>
          <w:szCs w:val="32"/>
          <w:lang w:val="en-US" w:eastAsia="zh-CN"/>
        </w:rPr>
        <w:t>三</w:t>
      </w:r>
      <w:r>
        <w:rPr>
          <w:rFonts w:hint="eastAsia" w:hAnsi="仿宋_GB2312" w:cs="仿宋_GB2312"/>
          <w:szCs w:val="32"/>
        </w:rPr>
        <w:t>）存在下列违法违规违约行为之一的企业及其控股股东，不得参与竞买上述地块：</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1.存在伪造公文骗取用地和非法倒卖土地等犯罪行为的；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2.存在非法转让土地使用权等违法行为的；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3.因企业原因造成土地闲置一年以上且至报名日止未处罚完结的；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4.开发建设企业有违背出让合同约定条件开发利用土地情形且至报名日止未处罚完结的；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5.至报名日止仍拖欠政府地价款的;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6.被列入问题楼盘开发企业黑名单的;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7.存在其它被禁止竞买土地行为的。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、本次国有建设用地使用权网上挂牌出让为无底价挂牌出让，按照价高者得的原则确定竞得人。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、本次网上挂牌出让的详细资料和具体要求，见惠州市公共资源交易中心土地与矿业网上挂牌交易系统（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）。申请人可在网上挂牌交易系统下载挂牌出让公告、须知及相关交易文件，并按上述文件规定的操作程序在网上参加竞买。</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、有意竞买者可以自行到地块现场踏勘（可在网上挂牌交易系统查阅位置图和现状图）。</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、申请人应当在网上挂牌出让结束前登陆惠州市公共资源交易中心土地与矿业网上挂牌交易系统并在系统上向惠州市公共资源交易中心提交竞买申请并支付保证金。网上挂牌保证金到账截止时间为20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widowControl w:val="0"/>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、竞得人签订《成交确认书》后，缴交的保证金中按成交价的</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转作定金，竞得人签订《出让合同》后，定金转作土地出让价款。保证金少于成交价20%的，不足部分由竞得人在签订《成交确认书》之日起5个工作日内付清。《成交确认书》签订之日起5个工作日内竞得人须与出让人签订《出让合同》，逾期自动解除《成交确认书》，定金不予返还。</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、其它需要公告的事项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 w:eastAsia="仿宋_GB2312"/>
          <w:sz w:val="32"/>
          <w:szCs w:val="32"/>
          <w:lang w:val="en-US" w:eastAsia="zh-CN"/>
        </w:rPr>
        <w:t>80370.66</w:t>
      </w:r>
      <w:r>
        <w:rPr>
          <w:rFonts w:hint="eastAsia" w:ascii="仿宋_GB2312" w:hAnsi="仿宋_GB2312" w:eastAsia="仿宋_GB2312" w:cs="仿宋_GB2312"/>
          <w:sz w:val="32"/>
          <w:szCs w:val="32"/>
        </w:rPr>
        <w:t>万元（含地价</w:t>
      </w:r>
      <w:r>
        <w:rPr>
          <w:rFonts w:hint="eastAsia" w:ascii="仿宋_GB2312" w:hAnsi="仿宋_GB2312" w:eastAsia="仿宋_GB2312" w:cs="仿宋_GB2312"/>
          <w:sz w:val="32"/>
          <w:szCs w:val="32"/>
          <w:lang w:eastAsia="zh-CN"/>
        </w:rPr>
        <w:t>，不含地价溢价部分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土地成交价款须以人民币支付,竞</w:t>
      </w:r>
      <w:r>
        <w:rPr>
          <w:rFonts w:hint="eastAsia" w:ascii="仿宋_GB2312" w:hAnsi="仿宋_GB2312" w:eastAsia="仿宋_GB2312" w:cs="仿宋_GB2312"/>
          <w:sz w:val="32"/>
          <w:szCs w:val="32"/>
        </w:rPr>
        <w:t>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）该地权利清晰，安置补偿落实到位，没有法律经济纠纷，具备动工开发所必须的基本条件。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）竞得人有下列行为之一的，视为违约，取消竞得人资格，没收保证金,并由有关部门依法处理;造成损失的，竞得人还应依法承担赔偿责任：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1、不符合竞买资格条件的；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2、采取行贿、恶意串通等非法手段竞得的；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3、竞得人以其他非法手段竞得的；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4、竞得人逾期或拒绝签订《成交确认书》的；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5、竞得人逾期或拒绝签订《出让合同》的；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6、不按本须知规定提供有关纸质文件材料，或提供虚假文件材料、隐瞒重要事实，引起交易纠纷的；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7、构成违约责任的其他行为。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）挂牌出让价款不含应由竞得人缴纳的契税、印花税等有关费用。</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、该宗地使用网上挂牌方式出让，交易全程适用《惠州市国有建设用地使用权和矿业权电子挂牌交易规则》（惠府〔</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167号）。</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（一）惠州市</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地址：惠州市</w:t>
      </w:r>
      <w:r>
        <w:rPr>
          <w:rFonts w:hint="eastAsia" w:ascii="仿宋_GB2312" w:hAnsi="仿宋_GB2312" w:eastAsia="仿宋_GB2312" w:cs="仿宋_GB2312"/>
          <w:sz w:val="32"/>
          <w:szCs w:val="32"/>
          <w:lang w:val="en-US" w:eastAsia="zh-CN"/>
        </w:rPr>
        <w:t>下埔路16号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张旷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2117378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惠州市公共资源交易中心土地矿业交易部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联系地址：广东省惠州市江北文华一路2号大隆大厦6楼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联系人：袁小姐、黄小姐</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7121026、7121042</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注：本公告同时在下列网站及场所发布</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中国土地市场网: http://www.landchina.com</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广东省土地市场网：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"http://www.landgd.com"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http://www.landgd.com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惠州市自然资源局网站：http://land.huizhou.gov.cn</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"http://zyjy.huizhou.gov.cn"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http://zyjy.huizhou.gov.cn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惠州市公共资源交易中心交易大厅现场。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惠州日报。</w:t>
      </w:r>
    </w:p>
    <w:p>
      <w:pPr>
        <w:keepNext w:val="0"/>
        <w:keepLines w:val="0"/>
        <w:pageBreakBefore w:val="0"/>
        <w:widowControl w:val="0"/>
        <w:kinsoku/>
        <w:wordWrap/>
        <w:overflowPunct/>
        <w:topLinePunct w:val="0"/>
        <w:autoSpaceDE/>
        <w:autoSpaceDN/>
        <w:bidi w:val="0"/>
        <w:spacing w:line="560" w:lineRule="exact"/>
        <w:ind w:left="487" w:leftChars="232"/>
        <w:textAlignment w:val="auto"/>
        <w:rPr>
          <w:rFonts w:ascii="宋体" w:hAnsi="宋体" w:cs="宋体"/>
          <w:color w:val="696969"/>
          <w:sz w:val="32"/>
          <w:szCs w:val="32"/>
        </w:rPr>
      </w:pPr>
      <w:r>
        <w:rPr>
          <w:rFonts w:hint="eastAsia" w:ascii="仿宋_GB2312" w:hAnsi="仿宋_GB2312" w:eastAsia="仿宋_GB2312" w:cs="仿宋_GB2312"/>
          <w:sz w:val="32"/>
          <w:szCs w:val="32"/>
        </w:rPr>
        <w:t>数字证书办理地址：</w:t>
      </w:r>
      <w:r>
        <w:rPr>
          <w:rFonts w:hint="eastAsia" w:ascii="仿宋_GB2312" w:hAnsi="仿宋_GB2312" w:eastAsia="仿宋_GB2312" w:cs="仿宋_GB2312"/>
          <w:color w:val="000000"/>
          <w:sz w:val="32"/>
          <w:szCs w:val="32"/>
        </w:rPr>
        <w:t>惠州市江北云山西路二号帝景国际商务中心七层18-22房。</w:t>
      </w:r>
    </w:p>
    <w:p>
      <w:pPr>
        <w:keepNext w:val="0"/>
        <w:keepLines w:val="0"/>
        <w:pageBreakBefore w:val="0"/>
        <w:widowControl w:val="0"/>
        <w:kinsoku/>
        <w:wordWrap/>
        <w:overflowPunct/>
        <w:topLinePunct w:val="0"/>
        <w:autoSpaceDE/>
        <w:autoSpaceDN/>
        <w:bidi w:val="0"/>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联系电话：0752-2898481</w:t>
      </w:r>
    </w:p>
    <w:p>
      <w:pPr>
        <w:keepNext w:val="0"/>
        <w:keepLines w:val="0"/>
        <w:pageBreakBefore w:val="0"/>
        <w:widowControl w:val="0"/>
        <w:kinsoku/>
        <w:wordWrap/>
        <w:overflowPunct/>
        <w:topLinePunct w:val="0"/>
        <w:autoSpaceDE/>
        <w:autoSpaceDN/>
        <w:bidi w:val="0"/>
        <w:spacing w:line="560" w:lineRule="exact"/>
        <w:ind w:right="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right="640" w:firstLine="5033" w:firstLineChars="1573"/>
        <w:textAlignment w:val="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eastAsia="zh-CN"/>
        </w:rPr>
        <w:t>惠城区</w:t>
      </w:r>
      <w:r>
        <w:rPr>
          <w:rFonts w:hint="eastAsia" w:ascii="仿宋_GB2312" w:hAnsi="仿宋_GB2312" w:eastAsia="仿宋_GB2312" w:cs="仿宋_GB2312"/>
          <w:sz w:val="32"/>
          <w:szCs w:val="32"/>
        </w:rPr>
        <w:t>自然资源局</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惠州市公共资源交易中心</w:t>
      </w:r>
    </w:p>
    <w:p>
      <w:pPr>
        <w:spacing w:line="360" w:lineRule="auto"/>
        <w:ind w:firstLine="5120" w:firstLineChars="1600"/>
        <w:jc w:val="both"/>
        <w:rPr>
          <w:rFonts w:hint="default"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440" w:right="1440" w:bottom="1440" w:left="144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2020年11月27日</w:t>
      </w:r>
    </w:p>
    <w:p>
      <w:pPr>
        <w:spacing w:line="360" w:lineRule="auto"/>
        <w:rPr>
          <w:rFonts w:hint="eastAsia" w:ascii="黑体" w:hAnsi="黑体" w:eastAsia="黑体"/>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tbl>
      <w:tblPr>
        <w:tblStyle w:val="8"/>
        <w:tblW w:w="10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50"/>
        <w:gridCol w:w="750"/>
        <w:gridCol w:w="675"/>
        <w:gridCol w:w="774"/>
        <w:gridCol w:w="948"/>
        <w:gridCol w:w="720"/>
        <w:gridCol w:w="672"/>
        <w:gridCol w:w="1650"/>
        <w:gridCol w:w="1087"/>
        <w:gridCol w:w="900"/>
        <w:gridCol w:w="97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5"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450"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750"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675"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774"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宗地使用权面积（</w:t>
            </w:r>
            <w:r>
              <w:rPr>
                <w:rFonts w:hint="eastAsia" w:ascii="宋体" w:hAnsi="宋体" w:cs="宋体"/>
                <w:b/>
                <w:bCs/>
                <w:szCs w:val="21"/>
              </w:rPr>
              <w:t>㎡</w:t>
            </w:r>
            <w:r>
              <w:rPr>
                <w:rFonts w:hint="eastAsia" w:ascii="仿宋_GB2312" w:eastAsia="仿宋_GB2312"/>
                <w:b/>
                <w:bCs/>
                <w:szCs w:val="21"/>
              </w:rPr>
              <w:t>）</w:t>
            </w:r>
          </w:p>
        </w:tc>
        <w:tc>
          <w:tcPr>
            <w:tcW w:w="6956" w:type="dxa"/>
            <w:gridSpan w:val="7"/>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670" w:type="dxa"/>
            <w:vMerge w:val="restart"/>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705" w:type="dxa"/>
            <w:vMerge w:val="continue"/>
            <w:vAlign w:val="center"/>
          </w:tcPr>
          <w:p>
            <w:pPr>
              <w:adjustRightInd w:val="0"/>
              <w:snapToGrid w:val="0"/>
              <w:spacing w:line="320" w:lineRule="exact"/>
              <w:jc w:val="center"/>
              <w:rPr>
                <w:rFonts w:hint="eastAsia" w:ascii="仿宋_GB2312" w:eastAsia="仿宋_GB2312"/>
                <w:b/>
                <w:bCs/>
              </w:rPr>
            </w:pPr>
          </w:p>
        </w:tc>
        <w:tc>
          <w:tcPr>
            <w:tcW w:w="450" w:type="dxa"/>
            <w:vMerge w:val="continue"/>
            <w:vAlign w:val="center"/>
          </w:tcPr>
          <w:p>
            <w:pPr>
              <w:adjustRightInd w:val="0"/>
              <w:snapToGrid w:val="0"/>
              <w:spacing w:line="320" w:lineRule="exact"/>
              <w:jc w:val="center"/>
              <w:rPr>
                <w:rFonts w:hint="eastAsia" w:ascii="仿宋_GB2312" w:eastAsia="仿宋_GB2312"/>
                <w:b/>
                <w:bCs/>
              </w:rPr>
            </w:pPr>
          </w:p>
        </w:tc>
        <w:tc>
          <w:tcPr>
            <w:tcW w:w="750" w:type="dxa"/>
            <w:vMerge w:val="continue"/>
            <w:vAlign w:val="center"/>
          </w:tcPr>
          <w:p>
            <w:pPr>
              <w:adjustRightInd w:val="0"/>
              <w:snapToGrid w:val="0"/>
              <w:spacing w:line="320" w:lineRule="exact"/>
              <w:jc w:val="center"/>
              <w:rPr>
                <w:rFonts w:hint="eastAsia" w:ascii="仿宋_GB2312" w:eastAsia="仿宋_GB2312"/>
                <w:b/>
                <w:bCs/>
              </w:rPr>
            </w:pPr>
          </w:p>
        </w:tc>
        <w:tc>
          <w:tcPr>
            <w:tcW w:w="675" w:type="dxa"/>
            <w:vMerge w:val="continue"/>
            <w:vAlign w:val="center"/>
          </w:tcPr>
          <w:p>
            <w:pPr>
              <w:adjustRightInd w:val="0"/>
              <w:snapToGrid w:val="0"/>
              <w:spacing w:line="320" w:lineRule="exact"/>
              <w:jc w:val="center"/>
              <w:rPr>
                <w:rFonts w:hint="eastAsia" w:ascii="仿宋_GB2312" w:eastAsia="仿宋_GB2312"/>
                <w:b/>
                <w:bCs/>
              </w:rPr>
            </w:pPr>
          </w:p>
        </w:tc>
        <w:tc>
          <w:tcPr>
            <w:tcW w:w="774" w:type="dxa"/>
            <w:vMerge w:val="continue"/>
            <w:vAlign w:val="center"/>
          </w:tcPr>
          <w:p>
            <w:pPr>
              <w:adjustRightInd w:val="0"/>
              <w:snapToGrid w:val="0"/>
              <w:spacing w:line="320" w:lineRule="exact"/>
              <w:jc w:val="center"/>
              <w:rPr>
                <w:rFonts w:hint="eastAsia" w:ascii="仿宋_GB2312" w:eastAsia="仿宋_GB2312"/>
                <w:b/>
                <w:bCs/>
              </w:rPr>
            </w:pPr>
          </w:p>
        </w:tc>
        <w:tc>
          <w:tcPr>
            <w:tcW w:w="948"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r>
              <w:rPr>
                <w:rFonts w:hint="eastAsia" w:ascii="宋体" w:hAnsi="宋体" w:cs="宋体"/>
                <w:b/>
                <w:bCs/>
                <w:szCs w:val="21"/>
              </w:rPr>
              <w:t>㎡</w:t>
            </w:r>
            <w:r>
              <w:rPr>
                <w:rFonts w:hint="eastAsia" w:ascii="仿宋_GB2312" w:eastAsia="仿宋_GB2312"/>
                <w:b/>
                <w:bCs/>
                <w:szCs w:val="21"/>
              </w:rPr>
              <w:t>）</w:t>
            </w:r>
          </w:p>
        </w:tc>
        <w:tc>
          <w:tcPr>
            <w:tcW w:w="720"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建筑密度</w:t>
            </w:r>
          </w:p>
          <w:p>
            <w:pPr>
              <w:autoSpaceDE w:val="0"/>
              <w:autoSpaceDN w:val="0"/>
              <w:adjustRightInd w:val="0"/>
              <w:spacing w:line="240" w:lineRule="exact"/>
              <w:jc w:val="center"/>
              <w:rPr>
                <w:rFonts w:hint="eastAsia" w:ascii="仿宋_GB2312" w:eastAsia="仿宋_GB2312"/>
                <w:b/>
                <w:bCs/>
                <w:szCs w:val="21"/>
              </w:rPr>
            </w:pPr>
            <w:r>
              <w:rPr>
                <w:rFonts w:hint="eastAsia" w:ascii="宋体" w:hAnsi="宋体" w:cs="宋体"/>
                <w:b/>
                <w:szCs w:val="21"/>
              </w:rPr>
              <w:t>（％）</w:t>
            </w:r>
          </w:p>
        </w:tc>
        <w:tc>
          <w:tcPr>
            <w:tcW w:w="672" w:type="dxa"/>
            <w:vAlign w:val="center"/>
          </w:tcPr>
          <w:p>
            <w:pPr>
              <w:autoSpaceDE w:val="0"/>
              <w:autoSpaceDN w:val="0"/>
              <w:adjustRightInd w:val="0"/>
              <w:spacing w:line="240" w:lineRule="exact"/>
              <w:jc w:val="center"/>
              <w:rPr>
                <w:rFonts w:hint="eastAsia" w:ascii="仿宋_GB2312" w:eastAsia="仿宋_GB2312"/>
                <w:b/>
                <w:bCs/>
                <w:szCs w:val="21"/>
              </w:rPr>
            </w:pPr>
            <w:r>
              <w:rPr>
                <w:rFonts w:hint="eastAsia" w:ascii="仿宋_GB2312" w:eastAsia="仿宋_GB2312"/>
                <w:b/>
                <w:bCs/>
                <w:szCs w:val="21"/>
              </w:rPr>
              <w:t>容积率</w:t>
            </w:r>
          </w:p>
        </w:tc>
        <w:tc>
          <w:tcPr>
            <w:tcW w:w="1650" w:type="dxa"/>
            <w:vAlign w:val="center"/>
          </w:tcPr>
          <w:p>
            <w:pPr>
              <w:spacing w:line="320" w:lineRule="exact"/>
              <w:ind w:left="44" w:right="-53" w:rightChars="-25" w:hanging="44" w:hangingChars="21"/>
              <w:jc w:val="center"/>
              <w:rPr>
                <w:rFonts w:hint="eastAsia" w:ascii="仿宋_GB2312" w:eastAsia="仿宋_GB2312"/>
                <w:b/>
                <w:bCs/>
                <w:szCs w:val="21"/>
              </w:rPr>
            </w:pPr>
            <w:r>
              <w:rPr>
                <w:rFonts w:hint="eastAsia" w:ascii="仿宋_GB2312" w:eastAsia="仿宋_GB2312"/>
                <w:b/>
                <w:bCs/>
                <w:szCs w:val="21"/>
              </w:rPr>
              <w:t>计容积率建筑面积</w:t>
            </w:r>
          </w:p>
        </w:tc>
        <w:tc>
          <w:tcPr>
            <w:tcW w:w="1087" w:type="dxa"/>
            <w:vAlign w:val="center"/>
          </w:tcPr>
          <w:p>
            <w:pPr>
              <w:autoSpaceDE w:val="0"/>
              <w:autoSpaceDN w:val="0"/>
              <w:adjustRightInd w:val="0"/>
              <w:spacing w:line="240" w:lineRule="exact"/>
              <w:jc w:val="center"/>
              <w:rPr>
                <w:rFonts w:hint="eastAsia" w:ascii="仿宋_GB2312" w:eastAsia="仿宋_GB2312"/>
                <w:b/>
                <w:bCs/>
              </w:rPr>
            </w:pPr>
            <w:r>
              <w:rPr>
                <w:rFonts w:hint="eastAsia" w:eastAsia="仿宋_GB2312"/>
                <w:b/>
                <w:szCs w:val="21"/>
              </w:rPr>
              <w:t>机动车停车位配建标准</w:t>
            </w:r>
          </w:p>
        </w:tc>
        <w:tc>
          <w:tcPr>
            <w:tcW w:w="900"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绿地率</w:t>
            </w:r>
          </w:p>
          <w:p>
            <w:pPr>
              <w:autoSpaceDE w:val="0"/>
              <w:autoSpaceDN w:val="0"/>
              <w:adjustRightInd w:val="0"/>
              <w:spacing w:line="240" w:lineRule="exact"/>
              <w:jc w:val="center"/>
              <w:rPr>
                <w:rFonts w:hint="eastAsia" w:eastAsia="仿宋_GB2312"/>
                <w:b/>
                <w:szCs w:val="21"/>
              </w:rPr>
            </w:pPr>
            <w:r>
              <w:rPr>
                <w:rFonts w:hint="eastAsia" w:ascii="宋体" w:hAnsi="宋体" w:cs="宋体"/>
                <w:b/>
                <w:szCs w:val="21"/>
              </w:rPr>
              <w:t>（％）</w:t>
            </w:r>
          </w:p>
        </w:tc>
        <w:tc>
          <w:tcPr>
            <w:tcW w:w="979" w:type="dxa"/>
            <w:vAlign w:val="center"/>
          </w:tcPr>
          <w:p>
            <w:pPr>
              <w:autoSpaceDE w:val="0"/>
              <w:autoSpaceDN w:val="0"/>
              <w:adjustRightInd w:val="0"/>
              <w:spacing w:line="240" w:lineRule="exact"/>
              <w:jc w:val="center"/>
              <w:rPr>
                <w:rFonts w:hint="eastAsia" w:ascii="仿宋_GB2312" w:eastAsia="仿宋_GB2312"/>
                <w:b/>
                <w:bCs/>
                <w:lang w:eastAsia="zh-CN"/>
              </w:rPr>
            </w:pPr>
            <w:r>
              <w:rPr>
                <w:rFonts w:hint="eastAsia" w:ascii="仿宋_GB2312" w:eastAsia="仿宋_GB2312"/>
                <w:b/>
                <w:bCs/>
                <w:lang w:eastAsia="zh-CN"/>
              </w:rPr>
              <w:t>适建性</w:t>
            </w:r>
          </w:p>
        </w:tc>
        <w:tc>
          <w:tcPr>
            <w:tcW w:w="670" w:type="dxa"/>
            <w:vMerge w:val="continue"/>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tcMar>
              <w:left w:w="0" w:type="dxa"/>
              <w:right w:w="0" w:type="dxa"/>
            </w:tcMar>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GP2020-50</w:t>
            </w:r>
            <w:bookmarkStart w:id="0" w:name="_GoBack"/>
            <w:bookmarkEnd w:id="0"/>
          </w:p>
        </w:tc>
        <w:tc>
          <w:tcPr>
            <w:tcW w:w="450"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惠州市惠城区</w:t>
            </w:r>
            <w:r>
              <w:rPr>
                <w:rFonts w:hint="eastAsia" w:ascii="仿宋_GB2312" w:hAnsi="Times New Roman" w:eastAsia="仿宋_GB2312"/>
                <w:szCs w:val="21"/>
                <w:lang w:eastAsia="zh-CN"/>
              </w:rPr>
              <w:t>高新科技产业园南部片区</w:t>
            </w:r>
          </w:p>
        </w:tc>
        <w:tc>
          <w:tcPr>
            <w:tcW w:w="750"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szCs w:val="21"/>
                <w:lang w:eastAsia="zh-CN"/>
              </w:rPr>
              <w:t>B-12-01</w:t>
            </w:r>
          </w:p>
        </w:tc>
        <w:tc>
          <w:tcPr>
            <w:tcW w:w="675" w:type="dxa"/>
            <w:tcMar>
              <w:left w:w="0" w:type="dxa"/>
              <w:right w:w="0" w:type="dxa"/>
            </w:tcMar>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二类居住用地，兼容商业用地</w:t>
            </w:r>
          </w:p>
        </w:tc>
        <w:tc>
          <w:tcPr>
            <w:tcW w:w="774"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26440.31</w:t>
            </w:r>
          </w:p>
        </w:tc>
        <w:tc>
          <w:tcPr>
            <w:tcW w:w="948" w:type="dxa"/>
            <w:vAlign w:val="center"/>
          </w:tcPr>
          <w:p>
            <w:pPr>
              <w:jc w:val="center"/>
              <w:rPr>
                <w:rFonts w:hint="default" w:ascii="仿宋_GB2312" w:hAnsi="Times New Roman" w:eastAsia="仿宋_GB2312" w:cs="Times New Roman"/>
                <w:szCs w:val="21"/>
                <w:lang w:val="en-US" w:eastAsia="zh-CN"/>
              </w:rPr>
            </w:pPr>
            <w:r>
              <w:rPr>
                <w:rFonts w:hint="default" w:ascii="仿宋_GB2312" w:hAnsi="Times New Roman" w:eastAsia="仿宋_GB2312" w:cs="Times New Roman"/>
                <w:szCs w:val="21"/>
                <w:lang w:val="en-US" w:eastAsia="zh-CN"/>
              </w:rPr>
              <w:t>38789</w:t>
            </w:r>
          </w:p>
        </w:tc>
        <w:tc>
          <w:tcPr>
            <w:tcW w:w="720" w:type="dxa"/>
            <w:vAlign w:val="center"/>
          </w:tcPr>
          <w:p>
            <w:pPr>
              <w:jc w:val="center"/>
              <w:rPr>
                <w:rFonts w:hint="default" w:ascii="仿宋_GB2312" w:hAnsi="Times New Roman" w:eastAsia="仿宋_GB2312" w:cs="Times New Roman"/>
                <w:szCs w:val="21"/>
                <w:lang w:val="en-US" w:eastAsia="zh-CN"/>
              </w:rPr>
            </w:pPr>
            <w:r>
              <w:rPr>
                <w:rFonts w:hint="default" w:ascii="仿宋_GB2312" w:hAnsi="Times New Roman" w:eastAsia="仿宋_GB2312" w:cs="Times New Roman"/>
                <w:szCs w:val="21"/>
                <w:lang w:val="en-US" w:eastAsia="zh-CN"/>
              </w:rPr>
              <w:t>≤30（其中住宅≤22）</w:t>
            </w:r>
          </w:p>
        </w:tc>
        <w:tc>
          <w:tcPr>
            <w:tcW w:w="672"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≤2.8</w:t>
            </w:r>
          </w:p>
        </w:tc>
        <w:tc>
          <w:tcPr>
            <w:tcW w:w="1650" w:type="dxa"/>
            <w:vAlign w:val="center"/>
          </w:tcPr>
          <w:p>
            <w:pPr>
              <w:jc w:val="center"/>
              <w:rPr>
                <w:rFonts w:hint="default" w:ascii="仿宋_GB2312" w:hAnsi="Times New Roman" w:eastAsia="仿宋_GB2312" w:cs="Times New Roman"/>
                <w:szCs w:val="21"/>
                <w:lang w:val="en-US" w:eastAsia="zh-CN"/>
              </w:rPr>
            </w:pPr>
            <w:r>
              <w:rPr>
                <w:rFonts w:hint="default" w:ascii="仿宋_GB2312" w:hAnsi="Times New Roman" w:eastAsia="仿宋_GB2312" w:cs="Times New Roman"/>
                <w:szCs w:val="21"/>
                <w:lang w:val="en-US" w:eastAsia="zh-CN"/>
              </w:rPr>
              <w:t>≤108609</w:t>
            </w:r>
            <w:r>
              <w:rPr>
                <w:rFonts w:hint="eastAsia" w:ascii="仿宋_GB2312" w:hAnsi="Times New Roman" w:eastAsia="仿宋_GB2312" w:cs="Times New Roman"/>
                <w:szCs w:val="21"/>
                <w:lang w:val="en-US" w:eastAsia="zh-CN"/>
              </w:rPr>
              <w:t>平方米</w:t>
            </w:r>
            <w:r>
              <w:rPr>
                <w:rFonts w:hint="default" w:ascii="仿宋_GB2312" w:hAnsi="Times New Roman" w:eastAsia="仿宋_GB2312" w:cs="Times New Roman"/>
                <w:szCs w:val="21"/>
                <w:lang w:val="en-US" w:eastAsia="zh-CN"/>
              </w:rPr>
              <w:t>（其中商业建筑面积的比例≤10%，配套设施建筑面积≥1600平方米）</w:t>
            </w:r>
          </w:p>
        </w:tc>
        <w:tc>
          <w:tcPr>
            <w:tcW w:w="1087"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eastAsia="zh-CN"/>
              </w:rPr>
              <w:t>每100平方米计容积率面积≥1个；幼儿园行政管理用房按每</w:t>
            </w:r>
            <w:r>
              <w:rPr>
                <w:rFonts w:hint="eastAsia" w:ascii="仿宋_GB2312" w:hAnsi="Times New Roman" w:eastAsia="仿宋_GB2312" w:cs="Times New Roman"/>
                <w:szCs w:val="21"/>
                <w:lang w:val="en-US" w:eastAsia="zh-CN"/>
              </w:rPr>
              <w:t>100平方米计容积率建筑面积</w:t>
            </w:r>
            <w:r>
              <w:rPr>
                <w:rFonts w:hint="eastAsia" w:ascii="仿宋_GB2312" w:hAnsi="Times New Roman" w:eastAsia="仿宋_GB2312" w:cs="Times New Roman"/>
                <w:szCs w:val="21"/>
                <w:lang w:eastAsia="zh-CN"/>
              </w:rPr>
              <w:t>≥1个</w:t>
            </w:r>
          </w:p>
        </w:tc>
        <w:tc>
          <w:tcPr>
            <w:tcW w:w="90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highlight w:val="none"/>
                <w:lang w:eastAsia="zh-CN"/>
              </w:rPr>
              <w:t>≥3</w:t>
            </w:r>
            <w:r>
              <w:rPr>
                <w:rFonts w:hint="eastAsia" w:ascii="仿宋_GB2312" w:hAnsi="Times New Roman" w:eastAsia="仿宋_GB2312" w:cs="Times New Roman"/>
                <w:szCs w:val="21"/>
                <w:highlight w:val="none"/>
                <w:lang w:val="en-US" w:eastAsia="zh-CN"/>
              </w:rPr>
              <w:t>0</w:t>
            </w:r>
          </w:p>
        </w:tc>
        <w:tc>
          <w:tcPr>
            <w:tcW w:w="979" w:type="dxa"/>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住宅和商业及配套设施</w:t>
            </w:r>
          </w:p>
        </w:tc>
        <w:tc>
          <w:tcPr>
            <w:tcW w:w="670" w:type="dxa"/>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商服用地40年，住宅用地70年</w:t>
            </w:r>
          </w:p>
        </w:tc>
      </w:tr>
    </w:tbl>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969B"/>
    <w:multiLevelType w:val="singleLevel"/>
    <w:tmpl w:val="015C96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24363"/>
    <w:rsid w:val="02BE149B"/>
    <w:rsid w:val="07386886"/>
    <w:rsid w:val="082B1937"/>
    <w:rsid w:val="0A535D0E"/>
    <w:rsid w:val="0B5B54DD"/>
    <w:rsid w:val="0CF85B3E"/>
    <w:rsid w:val="0D167AC3"/>
    <w:rsid w:val="0DF23899"/>
    <w:rsid w:val="0E7A65F6"/>
    <w:rsid w:val="101D3BC2"/>
    <w:rsid w:val="10BD4DFA"/>
    <w:rsid w:val="112670E6"/>
    <w:rsid w:val="1319647F"/>
    <w:rsid w:val="167673A1"/>
    <w:rsid w:val="17AA0480"/>
    <w:rsid w:val="188D227F"/>
    <w:rsid w:val="1A0B2C56"/>
    <w:rsid w:val="1AA5305E"/>
    <w:rsid w:val="1BB269BB"/>
    <w:rsid w:val="1C5904D7"/>
    <w:rsid w:val="1DE30B94"/>
    <w:rsid w:val="1E862B6D"/>
    <w:rsid w:val="20ED2229"/>
    <w:rsid w:val="20F3175B"/>
    <w:rsid w:val="22890C8D"/>
    <w:rsid w:val="28774868"/>
    <w:rsid w:val="2A870225"/>
    <w:rsid w:val="2B5D4967"/>
    <w:rsid w:val="304C7078"/>
    <w:rsid w:val="35335FA2"/>
    <w:rsid w:val="3570580C"/>
    <w:rsid w:val="36061489"/>
    <w:rsid w:val="37607760"/>
    <w:rsid w:val="38BD14D1"/>
    <w:rsid w:val="3BE86FBC"/>
    <w:rsid w:val="3C13026D"/>
    <w:rsid w:val="40231E47"/>
    <w:rsid w:val="40363F40"/>
    <w:rsid w:val="43706132"/>
    <w:rsid w:val="4AE74DD0"/>
    <w:rsid w:val="4F861E18"/>
    <w:rsid w:val="50551559"/>
    <w:rsid w:val="538C505C"/>
    <w:rsid w:val="57C844D5"/>
    <w:rsid w:val="596A13D8"/>
    <w:rsid w:val="5AF873B7"/>
    <w:rsid w:val="5D241B5A"/>
    <w:rsid w:val="692A6240"/>
    <w:rsid w:val="6EB83079"/>
    <w:rsid w:val="6F4B3B48"/>
    <w:rsid w:val="71D3170A"/>
    <w:rsid w:val="761352C3"/>
    <w:rsid w:val="77DD303C"/>
    <w:rsid w:val="7D06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2019-12-12T06:35:00Z</dcterms:created>
  <dc:creator>Administrator</dc:creator>
  <cp:lastModifiedBy>黄春枚</cp:lastModifiedBy>
  <cp:lastPrinted>2020-11-06T02:14:00Z</cp:lastPrinted>
  <dcterms:modified xsi:type="dcterms:W3CDTF">2020-11-27T03:05:02Z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