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026</w:t>
      </w:r>
      <w:r>
        <w:rPr>
          <w:rFonts w:hint="eastAsia" w:ascii="仿宋_GB2312" w:eastAsia="仿宋_GB2312"/>
          <w:sz w:val="32"/>
          <w:szCs w:val="32"/>
        </w:rPr>
        <w:t>号</w:t>
      </w:r>
    </w:p>
    <w:p>
      <w:pPr>
        <w:jc w:val="center"/>
        <w:rPr>
          <w:rFonts w:hint="eastAsia" w:ascii="仿宋_GB2312" w:eastAsia="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 w:eastAsia="仿宋_GB2312"/>
          <w:color w:val="auto"/>
          <w:sz w:val="32"/>
          <w:szCs w:val="32"/>
          <w:lang w:val="en-US" w:eastAsia="zh-CN"/>
        </w:rPr>
        <w:t>34700</w:t>
      </w:r>
      <w:r>
        <w:rPr>
          <w:rFonts w:hint="eastAsia" w:ascii="仿宋_GB2312" w:hAnsi="仿宋_GB2312" w:eastAsia="仿宋_GB2312" w:cs="仿宋_GB2312"/>
          <w:sz w:val="32"/>
          <w:szCs w:val="32"/>
        </w:rPr>
        <w:t>万元,每次报价加价幅度为人民币</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00万元的整数倍。</w:t>
      </w:r>
    </w:p>
    <w:p>
      <w:pPr>
        <w:spacing w:line="520" w:lineRule="exact"/>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eastAsia="仿宋_GB2312"/>
          <w:sz w:val="32"/>
          <w:szCs w:val="32"/>
        </w:rPr>
        <w:t>（即竞得人必须是新公司的唯一股东）。</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int="eastAsia"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eastAsia="zh-CN"/>
        </w:rPr>
        <w:t>（一）缴交竞买保证金</w:t>
      </w:r>
      <w:r>
        <w:rPr>
          <w:rFonts w:hint="eastAsia" w:hAnsi="仿宋_GB2312" w:cs="仿宋_GB2312"/>
          <w:color w:val="auto"/>
          <w:szCs w:val="32"/>
          <w:lang w:val="en-US" w:eastAsia="zh-CN"/>
        </w:rPr>
        <w:t>6940</w:t>
      </w:r>
      <w:r>
        <w:rPr>
          <w:rFonts w:hint="eastAsia" w:hAnsi="仿宋_GB2312" w:cs="仿宋_GB2312"/>
          <w:color w:val="auto"/>
          <w:szCs w:val="32"/>
          <w:lang w:eastAsia="zh-CN"/>
        </w:rPr>
        <w:t>万元人民币，如以外币缴交竞买保证金的，须缴交美元</w:t>
      </w:r>
      <w:r>
        <w:rPr>
          <w:rFonts w:hint="eastAsia" w:hAnsi="仿宋_GB2312" w:cs="仿宋_GB2312"/>
          <w:color w:val="auto"/>
          <w:szCs w:val="32"/>
          <w:lang w:val="en-US" w:eastAsia="zh-CN"/>
        </w:rPr>
        <w:t>980</w:t>
      </w:r>
      <w:r>
        <w:rPr>
          <w:rFonts w:hint="eastAsia" w:hAnsi="仿宋_GB2312" w:cs="仿宋_GB2312"/>
          <w:color w:val="auto"/>
          <w:szCs w:val="32"/>
          <w:lang w:eastAsia="zh-CN"/>
        </w:rPr>
        <w:t>万元或港币</w:t>
      </w:r>
      <w:r>
        <w:rPr>
          <w:rFonts w:hint="eastAsia" w:hAnsi="仿宋_GB2312" w:cs="仿宋_GB2312"/>
          <w:color w:val="auto"/>
          <w:szCs w:val="32"/>
          <w:lang w:val="en-US" w:eastAsia="zh-CN"/>
        </w:rPr>
        <w:t>7570</w:t>
      </w:r>
      <w:r>
        <w:rPr>
          <w:rFonts w:hint="eastAsia" w:hAnsi="仿宋_GB2312" w:cs="仿宋_GB2312"/>
          <w:color w:val="auto"/>
          <w:szCs w:val="32"/>
          <w:lang w:eastAsia="zh-CN"/>
        </w:rPr>
        <w:t>万元</w:t>
      </w:r>
      <w:r>
        <w:rPr>
          <w:rFonts w:hint="eastAsia" w:hAnsi="仿宋_GB2312" w:cs="仿宋_GB2312"/>
          <w:szCs w:val="32"/>
          <w:lang w:eastAsia="zh-CN"/>
        </w:rPr>
        <w:t>。</w:t>
      </w:r>
    </w:p>
    <w:p>
      <w:pPr>
        <w:pStyle w:val="2"/>
        <w:widowControl w:val="0"/>
        <w:spacing w:line="520" w:lineRule="exact"/>
        <w:jc w:val="both"/>
        <w:rPr>
          <w:rFonts w:hint="eastAsia" w:hAnsi="仿宋_GB2312" w:cs="仿宋_GB2312"/>
          <w:szCs w:val="32"/>
        </w:rPr>
      </w:pPr>
      <w:r>
        <w:rPr>
          <w:rFonts w:hint="eastAsia" w:hAnsi="仿宋_GB2312" w:cs="仿宋_GB2312"/>
          <w:szCs w:val="32"/>
          <w:lang w:eastAsia="zh-CN"/>
        </w:rPr>
        <w:t>（二）</w:t>
      </w:r>
      <w:r>
        <w:rPr>
          <w:rFonts w:hint="eastAsia" w:hAnsi="仿宋_GB2312" w:cs="仿宋_GB2312"/>
          <w:szCs w:val="32"/>
        </w:rPr>
        <w:t>存在下列违法违规违约行为之一的企业及其控股股东，不得参与竞买上述地块：</w:t>
      </w:r>
    </w:p>
    <w:p>
      <w:pPr>
        <w:pStyle w:val="2"/>
        <w:widowControl w:val="0"/>
        <w:spacing w:line="520" w:lineRule="exact"/>
        <w:jc w:val="both"/>
        <w:rPr>
          <w:rFonts w:hint="eastAsia"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int="eastAsia"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int="eastAsia"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int="eastAsia"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int="eastAsia" w:hAnsi="仿宋_GB2312" w:cs="仿宋_GB2312"/>
          <w:szCs w:val="32"/>
        </w:rPr>
      </w:pPr>
      <w:r>
        <w:rPr>
          <w:rFonts w:hint="eastAsia" w:hAnsi="仿宋_GB2312" w:cs="仿宋_GB2312"/>
          <w:szCs w:val="32"/>
        </w:rPr>
        <w:t>7、存在其它被禁止竞买土地行为的。</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color w:val="auto"/>
          <w:sz w:val="32"/>
          <w:szCs w:val="32"/>
          <w:lang w:val="en-US" w:eastAsia="zh-CN"/>
        </w:rPr>
        <w:t>53627</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20" w:lineRule="exact"/>
        <w:jc w:val="both"/>
        <w:rPr>
          <w:rFonts w:hint="eastAsia" w:hAnsi="仿宋_GB2312" w:cs="仿宋_GB2312"/>
          <w:szCs w:val="32"/>
          <w:lang w:eastAsia="zh-CN"/>
        </w:rPr>
      </w:pPr>
      <w:r>
        <w:rPr>
          <w:rFonts w:hint="eastAsia" w:hAnsi="仿宋_GB2312" w:cs="仿宋_GB2312"/>
          <w:szCs w:val="32"/>
          <w:lang w:val="en-US" w:eastAsia="zh-CN"/>
        </w:rPr>
        <w:t>（四）</w:t>
      </w:r>
      <w:r>
        <w:rPr>
          <w:rFonts w:hint="eastAsia" w:hAnsi="仿宋_GB2312" w:cs="仿宋_GB2312"/>
          <w:szCs w:val="32"/>
          <w:lang w:eastAsia="zh-CN"/>
        </w:rPr>
        <w:t>竞得人在用地红线内开发建设必须符合城市规划要求，必须按《告知书》（案卷编号</w:t>
      </w:r>
      <w:r>
        <w:rPr>
          <w:rFonts w:hint="eastAsia" w:hAnsi="仿宋_GB2312" w:cs="仿宋_GB2312"/>
          <w:color w:val="auto"/>
          <w:szCs w:val="32"/>
          <w:lang w:eastAsia="zh-CN"/>
        </w:rPr>
        <w:t>：PB20</w:t>
      </w:r>
      <w:r>
        <w:rPr>
          <w:rFonts w:hint="eastAsia" w:hAnsi="仿宋_GB2312" w:cs="仿宋_GB2312"/>
          <w:color w:val="auto"/>
          <w:szCs w:val="32"/>
          <w:lang w:val="en-US" w:eastAsia="zh-CN"/>
        </w:rPr>
        <w:t>200014</w:t>
      </w:r>
      <w:r>
        <w:rPr>
          <w:rFonts w:hint="eastAsia" w:hAnsi="仿宋_GB2312" w:cs="仿宋_GB2312"/>
          <w:szCs w:val="32"/>
          <w:lang w:eastAsia="zh-CN"/>
        </w:rPr>
        <w:t>）规划控制指标要求及有关规定进行规划设计，</w:t>
      </w:r>
      <w:r>
        <w:rPr>
          <w:rFonts w:hint="eastAsia" w:hAnsi="仿宋_GB2312" w:cs="仿宋_GB2312"/>
          <w:szCs w:val="32"/>
          <w:lang w:val="en-US" w:eastAsia="zh-CN"/>
        </w:rPr>
        <w:t>并按要求配建相应的配套设施</w:t>
      </w:r>
      <w:r>
        <w:rPr>
          <w:rFonts w:hint="eastAsia" w:hAnsi="仿宋_GB2312" w:cs="仿宋_GB231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、联系方式：</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赵小姐</w:t>
      </w:r>
    </w:p>
    <w:p>
      <w:pPr>
        <w:spacing w:line="520"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eastAsia="仿宋_GB2312"/>
          <w:sz w:val="32"/>
          <w:szCs w:val="32"/>
        </w:rPr>
        <w:t>（0752）</w:t>
      </w:r>
      <w:r>
        <w:rPr>
          <w:rFonts w:hint="eastAsia" w:ascii="仿宋_GB2312" w:eastAsia="仿宋_GB2312"/>
          <w:sz w:val="32"/>
          <w:szCs w:val="32"/>
          <w:lang w:val="en-US" w:eastAsia="zh-CN"/>
        </w:rPr>
        <w:t>2896286</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）联系地址：广东省惠州市江北文华一路2号大隆大厦6楼</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袁小姐、黄小姐</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0752）7121026、7121042</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spacing w:line="520" w:lineRule="exact"/>
        <w:ind w:left="487" w:leftChars="232"/>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hint="eastAsia" w:ascii="仿宋_GB2312" w:hAnsi="仿宋_GB2312" w:eastAsia="仿宋_GB2312" w:cs="仿宋_GB2312"/>
          <w:sz w:val="32"/>
          <w:szCs w:val="32"/>
        </w:rPr>
      </w:pPr>
    </w:p>
    <w:p>
      <w:pPr>
        <w:spacing w:line="520" w:lineRule="exact"/>
        <w:ind w:right="640" w:firstLine="4800" w:firstLineChars="1500"/>
        <w:rPr>
          <w:rFonts w:hint="eastAsia" w:ascii="仿宋_GB2312" w:hAnsi="仿宋_GB2312" w:eastAsia="仿宋_GB2312" w:cs="仿宋_GB2312"/>
          <w:sz w:val="32"/>
          <w:szCs w:val="32"/>
        </w:rPr>
      </w:pPr>
    </w:p>
    <w:p>
      <w:pPr>
        <w:spacing w:line="520" w:lineRule="exact"/>
        <w:ind w:right="640"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spacing w:line="520" w:lineRule="exact"/>
        <w:ind w:right="640"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2020年8月10日</w:t>
      </w:r>
    </w:p>
    <w:p>
      <w:pPr>
        <w:spacing w:line="520" w:lineRule="exact"/>
        <w:ind w:right="640" w:firstLine="5120" w:firstLineChars="1600"/>
        <w:rPr>
          <w:rFonts w:hint="eastAsia" w:ascii="仿宋_GB2312" w:hAnsi="仿宋_GB2312" w:eastAsia="仿宋_GB2312" w:cs="仿宋_GB2312"/>
          <w:sz w:val="32"/>
          <w:szCs w:val="32"/>
          <w:lang w:val="en-US" w:eastAsia="zh-CN"/>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45"/>
        <w:gridCol w:w="660"/>
        <w:gridCol w:w="690"/>
        <w:gridCol w:w="735"/>
        <w:gridCol w:w="885"/>
        <w:gridCol w:w="690"/>
        <w:gridCol w:w="570"/>
        <w:gridCol w:w="528"/>
        <w:gridCol w:w="525"/>
        <w:gridCol w:w="1290"/>
        <w:gridCol w:w="915"/>
        <w:gridCol w:w="808"/>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828"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挂牌地块编号</w:t>
            </w:r>
          </w:p>
        </w:tc>
        <w:tc>
          <w:tcPr>
            <w:tcW w:w="645" w:type="dxa"/>
            <w:vMerge w:val="restart"/>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位置</w:t>
            </w:r>
          </w:p>
        </w:tc>
        <w:tc>
          <w:tcPr>
            <w:tcW w:w="660"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规划编号</w:t>
            </w:r>
          </w:p>
        </w:tc>
        <w:tc>
          <w:tcPr>
            <w:tcW w:w="690" w:type="dxa"/>
            <w:vMerge w:val="restart"/>
            <w:vAlign w:val="center"/>
          </w:tcPr>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土地</w:t>
            </w:r>
          </w:p>
          <w:p>
            <w:pPr>
              <w:adjustRightInd w:val="0"/>
              <w:snapToGrid w:val="0"/>
              <w:spacing w:line="320" w:lineRule="exact"/>
              <w:jc w:val="center"/>
              <w:rPr>
                <w:rFonts w:hint="eastAsia" w:ascii="仿宋_GB2312" w:eastAsia="仿宋_GB2312"/>
                <w:b/>
                <w:bCs/>
                <w:color w:val="auto"/>
                <w:szCs w:val="21"/>
              </w:rPr>
            </w:pPr>
            <w:r>
              <w:rPr>
                <w:rFonts w:hint="eastAsia" w:ascii="仿宋_GB2312" w:eastAsia="仿宋_GB2312"/>
                <w:b/>
                <w:bCs/>
                <w:color w:val="auto"/>
                <w:szCs w:val="21"/>
              </w:rPr>
              <w:t>用途</w:t>
            </w:r>
          </w:p>
        </w:tc>
        <w:tc>
          <w:tcPr>
            <w:tcW w:w="735" w:type="dxa"/>
            <w:vMerge w:val="restart"/>
            <w:vAlign w:val="center"/>
          </w:tcPr>
          <w:p>
            <w:pPr>
              <w:adjustRightInd w:val="0"/>
              <w:snapToGrid w:val="0"/>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宗地使用权面积</w:t>
            </w:r>
            <w:r>
              <w:rPr>
                <w:rFonts w:hint="eastAsia" w:ascii="仿宋_GB2312" w:eastAsia="仿宋_GB2312"/>
                <w:b/>
                <w:bCs/>
                <w:color w:val="auto"/>
                <w:szCs w:val="21"/>
              </w:rPr>
              <w:t>（</w:t>
            </w:r>
            <w:r>
              <w:rPr>
                <w:rFonts w:hint="eastAsia" w:ascii="宋体" w:hAnsi="宋体" w:cs="宋体"/>
                <w:b/>
                <w:bCs/>
                <w:color w:val="auto"/>
                <w:szCs w:val="21"/>
              </w:rPr>
              <w:t>㎡</w:t>
            </w:r>
            <w:r>
              <w:rPr>
                <w:rFonts w:hint="eastAsia" w:ascii="仿宋_GB2312" w:eastAsia="仿宋_GB2312"/>
                <w:b/>
                <w:bCs/>
                <w:color w:val="auto"/>
                <w:szCs w:val="21"/>
              </w:rPr>
              <w:t>）</w:t>
            </w:r>
          </w:p>
        </w:tc>
        <w:tc>
          <w:tcPr>
            <w:tcW w:w="6211" w:type="dxa"/>
            <w:gridSpan w:val="8"/>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rPr>
            </w:pPr>
            <w:r>
              <w:rPr>
                <w:rFonts w:hint="eastAsia" w:ascii="仿宋_GB2312" w:eastAsia="仿宋_GB2312"/>
                <w:b/>
                <w:bCs/>
                <w:color w:val="auto"/>
                <w:szCs w:val="21"/>
              </w:rPr>
              <w:t>规划指标要求</w:t>
            </w:r>
          </w:p>
        </w:tc>
        <w:tc>
          <w:tcPr>
            <w:tcW w:w="707" w:type="dxa"/>
            <w:vMerge w:val="restart"/>
            <w:vAlign w:val="center"/>
          </w:tcPr>
          <w:p>
            <w:pPr>
              <w:adjustRightInd w:val="0"/>
              <w:snapToGrid w:val="0"/>
              <w:spacing w:line="320" w:lineRule="exact"/>
              <w:ind w:left="-27" w:leftChars="-51" w:hanging="80" w:hangingChars="38"/>
              <w:jc w:val="center"/>
              <w:rPr>
                <w:rFonts w:hint="eastAsia" w:ascii="仿宋_GB2312" w:eastAsia="仿宋_GB2312"/>
                <w:b/>
                <w:bCs/>
                <w:color w:val="auto"/>
                <w:szCs w:val="21"/>
                <w:lang w:eastAsia="zh-CN"/>
              </w:rPr>
            </w:pPr>
            <w:r>
              <w:rPr>
                <w:rFonts w:hint="eastAsia" w:ascii="仿宋_GB2312" w:eastAsia="仿宋_GB2312"/>
                <w:b/>
                <w:bCs/>
                <w:color w:val="auto"/>
                <w:szCs w:val="21"/>
              </w:rPr>
              <w:t>土地使用权出让年限</w:t>
            </w:r>
            <w:r>
              <w:rPr>
                <w:rFonts w:hint="eastAsia" w:ascii="仿宋_GB2312" w:eastAsia="仿宋_GB2312"/>
                <w:b/>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jc w:val="center"/>
        </w:trPr>
        <w:tc>
          <w:tcPr>
            <w:tcW w:w="828"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4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60"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690"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c>
          <w:tcPr>
            <w:tcW w:w="735" w:type="dxa"/>
            <w:vMerge w:val="continue"/>
            <w:vAlign w:val="center"/>
          </w:tcPr>
          <w:p>
            <w:pPr>
              <w:adjustRightInd w:val="0"/>
              <w:snapToGrid w:val="0"/>
              <w:spacing w:line="320" w:lineRule="exact"/>
              <w:jc w:val="center"/>
              <w:rPr>
                <w:rFonts w:hint="eastAsia" w:ascii="仿宋_GB2312" w:eastAsia="仿宋_GB2312"/>
                <w:b/>
                <w:bCs/>
                <w:color w:val="auto"/>
              </w:rPr>
            </w:pPr>
          </w:p>
        </w:tc>
        <w:tc>
          <w:tcPr>
            <w:tcW w:w="885" w:type="dxa"/>
            <w:vAlign w:val="center"/>
          </w:tcPr>
          <w:p>
            <w:pPr>
              <w:spacing w:line="320" w:lineRule="exact"/>
              <w:jc w:val="center"/>
              <w:rPr>
                <w:rFonts w:hint="eastAsia" w:ascii="仿宋_GB2312" w:eastAsia="仿宋_GB2312"/>
                <w:b/>
                <w:bCs/>
                <w:color w:val="auto"/>
              </w:rPr>
            </w:pPr>
            <w:r>
              <w:rPr>
                <w:rFonts w:hint="eastAsia" w:ascii="仿宋_GB2312" w:eastAsia="仿宋_GB2312"/>
                <w:b/>
                <w:bCs/>
                <w:color w:val="auto"/>
                <w:szCs w:val="21"/>
              </w:rPr>
              <w:t>计算指标用地面积（</w:t>
            </w:r>
            <w:r>
              <w:rPr>
                <w:rFonts w:hint="eastAsia" w:ascii="宋体" w:hAnsi="宋体" w:cs="宋体"/>
                <w:b/>
                <w:bCs/>
                <w:color w:val="auto"/>
                <w:szCs w:val="21"/>
              </w:rPr>
              <w:t>㎡</w:t>
            </w:r>
            <w:r>
              <w:rPr>
                <w:rFonts w:hint="eastAsia" w:ascii="仿宋_GB2312" w:eastAsia="仿宋_GB2312"/>
                <w:b/>
                <w:bCs/>
                <w:color w:val="auto"/>
                <w:szCs w:val="21"/>
              </w:rPr>
              <w:t>）</w:t>
            </w:r>
          </w:p>
          <w:p>
            <w:pPr>
              <w:jc w:val="center"/>
              <w:rPr>
                <w:rFonts w:hint="default" w:ascii="仿宋_GB2312" w:hAnsi="Times New Roman" w:eastAsia="仿宋_GB2312"/>
                <w:color w:val="auto"/>
                <w:szCs w:val="21"/>
                <w:lang w:val="en-US" w:eastAsia="zh-CN"/>
              </w:rPr>
            </w:pPr>
          </w:p>
        </w:tc>
        <w:tc>
          <w:tcPr>
            <w:tcW w:w="690" w:type="dxa"/>
            <w:vAlign w:val="center"/>
          </w:tcPr>
          <w:p>
            <w:pPr>
              <w:jc w:val="center"/>
              <w:rPr>
                <w:rFonts w:hint="default" w:ascii="仿宋_GB2312" w:hAnsi="Times New Roman" w:eastAsia="仿宋_GB2312"/>
                <w:color w:val="auto"/>
                <w:szCs w:val="21"/>
                <w:lang w:val="en-US" w:eastAsia="zh-CN"/>
              </w:rPr>
            </w:pPr>
            <w:r>
              <w:rPr>
                <w:rFonts w:hint="default" w:ascii="仿宋_GB2312" w:hAnsi="Times New Roman" w:eastAsia="仿宋_GB2312"/>
                <w:b/>
                <w:bCs/>
                <w:color w:val="auto"/>
                <w:szCs w:val="21"/>
                <w:lang w:val="en-US" w:eastAsia="zh-CN"/>
              </w:rPr>
              <w:t>建筑密度（%）</w:t>
            </w:r>
          </w:p>
        </w:tc>
        <w:tc>
          <w:tcPr>
            <w:tcW w:w="570" w:type="dxa"/>
            <w:vAlign w:val="center"/>
          </w:tcPr>
          <w:p>
            <w:pPr>
              <w:spacing w:line="320" w:lineRule="exact"/>
              <w:jc w:val="center"/>
              <w:rPr>
                <w:rFonts w:hint="eastAsia" w:ascii="仿宋_GB2312" w:eastAsia="仿宋_GB2312"/>
                <w:b/>
                <w:bCs/>
                <w:color w:val="auto"/>
                <w:szCs w:val="21"/>
              </w:rPr>
            </w:pPr>
            <w:r>
              <w:rPr>
                <w:rFonts w:hint="eastAsia" w:ascii="仿宋_GB2312" w:eastAsia="仿宋_GB2312"/>
                <w:b/>
                <w:bCs/>
                <w:color w:val="auto"/>
                <w:szCs w:val="21"/>
                <w:lang w:eastAsia="zh-CN"/>
              </w:rPr>
              <w:t>容积率</w:t>
            </w:r>
          </w:p>
        </w:tc>
        <w:tc>
          <w:tcPr>
            <w:tcW w:w="528" w:type="dxa"/>
            <w:vAlign w:val="center"/>
          </w:tcPr>
          <w:p>
            <w:pPr>
              <w:spacing w:line="320" w:lineRule="exact"/>
              <w:jc w:val="center"/>
              <w:rPr>
                <w:rFonts w:hint="eastAsia" w:ascii="仿宋_GB2312" w:eastAsia="仿宋_GB2312"/>
                <w:b/>
                <w:bCs/>
                <w:color w:val="auto"/>
                <w:szCs w:val="21"/>
                <w:lang w:eastAsia="zh-CN"/>
              </w:rPr>
            </w:pPr>
            <w:r>
              <w:rPr>
                <w:rFonts w:hint="eastAsia" w:ascii="仿宋_GB2312" w:eastAsia="仿宋_GB2312"/>
                <w:b/>
                <w:bCs/>
                <w:color w:val="auto"/>
                <w:szCs w:val="21"/>
                <w:lang w:eastAsia="zh-CN"/>
              </w:rPr>
              <w:t>绿地率（%）</w:t>
            </w:r>
          </w:p>
        </w:tc>
        <w:tc>
          <w:tcPr>
            <w:tcW w:w="1815" w:type="dxa"/>
            <w:gridSpan w:val="2"/>
            <w:vAlign w:val="center"/>
          </w:tcPr>
          <w:p>
            <w:pPr>
              <w:spacing w:line="320" w:lineRule="exact"/>
              <w:ind w:left="44" w:right="-53" w:rightChars="-25" w:hanging="44" w:hangingChars="21"/>
              <w:jc w:val="center"/>
              <w:rPr>
                <w:rFonts w:hint="eastAsia" w:ascii="仿宋" w:hAnsi="仿宋" w:eastAsia="仿宋" w:cs="仿宋"/>
                <w:b/>
                <w:bCs/>
                <w:color w:val="auto"/>
                <w:szCs w:val="21"/>
              </w:rPr>
            </w:pPr>
            <w:r>
              <w:rPr>
                <w:rFonts w:hint="eastAsia" w:ascii="仿宋" w:hAnsi="仿宋" w:eastAsia="仿宋" w:cs="仿宋"/>
                <w:b/>
                <w:bCs/>
                <w:color w:val="auto"/>
                <w:szCs w:val="21"/>
              </w:rPr>
              <w:t>计容积率建筑面积（㎡）</w:t>
            </w:r>
          </w:p>
        </w:tc>
        <w:tc>
          <w:tcPr>
            <w:tcW w:w="915" w:type="dxa"/>
            <w:vAlign w:val="center"/>
          </w:tcPr>
          <w:p>
            <w:pPr>
              <w:adjustRightInd w:val="0"/>
              <w:snapToGrid w:val="0"/>
              <w:spacing w:line="320" w:lineRule="exact"/>
              <w:ind w:left="-27" w:leftChars="-51" w:hanging="80" w:hangingChars="38"/>
              <w:jc w:val="center"/>
              <w:rPr>
                <w:rFonts w:hint="eastAsia" w:ascii="仿宋_GB2312" w:eastAsia="仿宋_GB2312"/>
                <w:b/>
                <w:bCs/>
                <w:color w:val="auto"/>
              </w:rPr>
            </w:pPr>
            <w:r>
              <w:rPr>
                <w:rFonts w:hint="eastAsia" w:ascii="仿宋_GB2312" w:eastAsia="仿宋_GB2312"/>
                <w:b/>
                <w:bCs/>
                <w:color w:val="auto"/>
              </w:rPr>
              <w:t>机动车停车位（个）</w:t>
            </w:r>
          </w:p>
        </w:tc>
        <w:tc>
          <w:tcPr>
            <w:tcW w:w="808" w:type="dxa"/>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r>
              <w:rPr>
                <w:rFonts w:hint="eastAsia" w:ascii="仿宋_GB2312" w:eastAsia="仿宋_GB2312"/>
                <w:b/>
                <w:bCs/>
                <w:color w:val="auto"/>
                <w:lang w:eastAsia="zh-CN"/>
              </w:rPr>
              <w:t>适建性</w:t>
            </w:r>
          </w:p>
        </w:tc>
        <w:tc>
          <w:tcPr>
            <w:tcW w:w="707" w:type="dxa"/>
            <w:vMerge w:val="continue"/>
            <w:vAlign w:val="center"/>
          </w:tcPr>
          <w:p>
            <w:pPr>
              <w:adjustRightInd w:val="0"/>
              <w:snapToGrid w:val="0"/>
              <w:spacing w:line="320" w:lineRule="exact"/>
              <w:ind w:left="-27" w:leftChars="-51" w:hanging="80" w:hangingChars="38"/>
              <w:jc w:val="center"/>
              <w:rPr>
                <w:rFonts w:hint="eastAsia" w:ascii="仿宋_GB2312" w:eastAsia="仿宋_GB2312"/>
                <w:b/>
                <w:bCs/>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jc w:val="center"/>
        </w:trPr>
        <w:tc>
          <w:tcPr>
            <w:tcW w:w="828" w:type="dxa"/>
            <w:vMerge w:val="restart"/>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GP2020</w:t>
            </w:r>
          </w:p>
          <w:p>
            <w:pPr>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w:t>
            </w:r>
            <w:r>
              <w:rPr>
                <w:rFonts w:hint="eastAsia" w:ascii="仿宋_GB2312" w:eastAsia="仿宋_GB2312"/>
                <w:color w:val="auto"/>
                <w:szCs w:val="21"/>
                <w:lang w:val="en-US" w:eastAsia="zh-CN"/>
              </w:rPr>
              <w:t>26</w:t>
            </w:r>
          </w:p>
        </w:tc>
        <w:tc>
          <w:tcPr>
            <w:tcW w:w="645" w:type="dxa"/>
            <w:vMerge w:val="restart"/>
            <w:vAlign w:val="center"/>
          </w:tcPr>
          <w:p>
            <w:pPr>
              <w:jc w:val="center"/>
              <w:rPr>
                <w:rFonts w:hint="eastAsia" w:ascii="仿宋_GB2312" w:hAnsi="Times New Roman" w:eastAsia="仿宋_GB2312"/>
                <w:color w:val="auto"/>
                <w:szCs w:val="21"/>
                <w:lang w:eastAsia="zh-CN"/>
              </w:rPr>
            </w:pPr>
            <w:r>
              <w:rPr>
                <w:rFonts w:hint="eastAsia" w:ascii="仿宋_GB2312" w:hAnsi="Times New Roman" w:eastAsia="仿宋_GB2312"/>
                <w:color w:val="auto"/>
                <w:szCs w:val="21"/>
                <w:lang w:eastAsia="zh-CN"/>
              </w:rPr>
              <w:t>惠州市江北东区JBD56-02-01地块</w:t>
            </w:r>
          </w:p>
        </w:tc>
        <w:tc>
          <w:tcPr>
            <w:tcW w:w="660" w:type="dxa"/>
            <w:vMerge w:val="restart"/>
            <w:vAlign w:val="center"/>
          </w:tcPr>
          <w:p>
            <w:pPr>
              <w:jc w:val="center"/>
              <w:rPr>
                <w:rFonts w:hint="default" w:ascii="仿宋_GB2312" w:hAnsi="Times New Roman" w:eastAsia="仿宋_GB2312"/>
                <w:color w:val="auto"/>
                <w:szCs w:val="21"/>
                <w:lang w:val="en-US" w:eastAsia="zh-CN"/>
              </w:rPr>
            </w:pPr>
            <w:r>
              <w:rPr>
                <w:rFonts w:hint="eastAsia" w:ascii="仿宋_GB2312" w:hAnsi="仿宋_GB2312" w:eastAsia="仿宋_GB2312" w:cs="仿宋_GB2312"/>
                <w:color w:val="auto"/>
              </w:rPr>
              <w:t>JBD56-02-01</w:t>
            </w:r>
          </w:p>
        </w:tc>
        <w:tc>
          <w:tcPr>
            <w:tcW w:w="690" w:type="dxa"/>
            <w:vMerge w:val="restart"/>
            <w:tcMar>
              <w:left w:w="0" w:type="dxa"/>
              <w:right w:w="0" w:type="dxa"/>
            </w:tcMar>
            <w:vAlign w:val="center"/>
          </w:tcPr>
          <w:p>
            <w:pPr>
              <w:jc w:val="both"/>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住宅用地、商业用地</w:t>
            </w:r>
          </w:p>
        </w:tc>
        <w:tc>
          <w:tcPr>
            <w:tcW w:w="735" w:type="dxa"/>
            <w:vMerge w:val="restart"/>
            <w:tcMar>
              <w:left w:w="0" w:type="dxa"/>
              <w:right w:w="0" w:type="dxa"/>
            </w:tcMar>
            <w:vAlign w:val="center"/>
          </w:tcPr>
          <w:p>
            <w:pPr>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15009.02</w:t>
            </w:r>
          </w:p>
        </w:tc>
        <w:tc>
          <w:tcPr>
            <w:tcW w:w="885" w:type="dxa"/>
            <w:vMerge w:val="restart"/>
            <w:vAlign w:val="center"/>
          </w:tcPr>
          <w:p>
            <w:pPr>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18025.55</w:t>
            </w:r>
          </w:p>
        </w:tc>
        <w:tc>
          <w:tcPr>
            <w:tcW w:w="690" w:type="dxa"/>
            <w:vMerge w:val="restart"/>
            <w:vAlign w:val="center"/>
          </w:tcPr>
          <w:p>
            <w:pPr>
              <w:jc w:val="center"/>
              <w:rPr>
                <w:rFonts w:hint="eastAsia" w:ascii="仿宋" w:hAnsi="仿宋" w:eastAsia="仿宋"/>
                <w:color w:val="auto"/>
                <w:lang w:val="en-US" w:eastAsia="zh-CN"/>
              </w:rPr>
            </w:pPr>
            <w:r>
              <w:rPr>
                <w:rFonts w:hint="eastAsia" w:ascii="仿宋" w:hAnsi="仿宋" w:eastAsia="仿宋"/>
                <w:color w:val="auto"/>
                <w:lang w:val="en-US" w:eastAsia="zh-CN"/>
              </w:rPr>
              <w:t>≤30（其中住宅建筑密度≤22）</w:t>
            </w:r>
          </w:p>
        </w:tc>
        <w:tc>
          <w:tcPr>
            <w:tcW w:w="570" w:type="dxa"/>
            <w:vMerge w:val="restart"/>
            <w:vAlign w:val="center"/>
          </w:tcPr>
          <w:p>
            <w:pPr>
              <w:ind w:left="-103"/>
              <w:jc w:val="center"/>
              <w:rPr>
                <w:rFonts w:hint="default" w:ascii="仿宋_GB2312" w:hAnsi="Times New Roman" w:eastAsia="仿宋_GB2312"/>
                <w:color w:val="auto"/>
                <w:szCs w:val="21"/>
                <w:lang w:val="en-US" w:eastAsia="zh-CN"/>
              </w:rPr>
            </w:pPr>
            <w:r>
              <w:rPr>
                <w:rFonts w:hint="eastAsia" w:ascii="仿宋" w:hAnsi="仿宋" w:eastAsia="仿宋"/>
                <w:color w:val="auto"/>
                <w:lang w:val="en-US" w:eastAsia="zh-CN"/>
              </w:rPr>
              <w:t>≤3.5</w:t>
            </w:r>
          </w:p>
        </w:tc>
        <w:tc>
          <w:tcPr>
            <w:tcW w:w="528" w:type="dxa"/>
            <w:vMerge w:val="restart"/>
            <w:vAlign w:val="center"/>
          </w:tcPr>
          <w:p>
            <w:pPr>
              <w:ind w:left="-103"/>
              <w:jc w:val="center"/>
              <w:rPr>
                <w:rFonts w:hint="eastAsia" w:ascii="仿宋" w:hAnsi="仿宋" w:eastAsia="仿宋"/>
                <w:color w:val="auto"/>
                <w:lang w:val="en-US" w:eastAsia="zh-CN"/>
              </w:rPr>
            </w:pPr>
            <w:r>
              <w:rPr>
                <w:rFonts w:hint="eastAsia" w:ascii="仿宋" w:hAnsi="仿宋" w:eastAsia="仿宋"/>
                <w:color w:val="auto"/>
                <w:lang w:val="en-US" w:eastAsia="zh-CN"/>
              </w:rPr>
              <w:t>≥30</w:t>
            </w:r>
          </w:p>
        </w:tc>
        <w:tc>
          <w:tcPr>
            <w:tcW w:w="1815" w:type="dxa"/>
            <w:gridSpan w:val="2"/>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63091</w:t>
            </w:r>
          </w:p>
        </w:tc>
        <w:tc>
          <w:tcPr>
            <w:tcW w:w="915" w:type="dxa"/>
            <w:vMerge w:val="restart"/>
            <w:vAlign w:val="center"/>
          </w:tcPr>
          <w:p>
            <w:pPr>
              <w:jc w:val="center"/>
              <w:rPr>
                <w:rFonts w:hint="default" w:ascii="仿宋_GB2312" w:hAnsi="Times New Roman" w:eastAsia="仿宋"/>
                <w:color w:val="auto"/>
                <w:szCs w:val="21"/>
                <w:lang w:val="en-US" w:eastAsia="zh-CN"/>
              </w:rPr>
            </w:pPr>
            <w:r>
              <w:rPr>
                <w:rFonts w:hint="eastAsia" w:ascii="仿宋" w:hAnsi="仿宋" w:eastAsia="仿宋"/>
                <w:color w:val="auto"/>
                <w:lang w:eastAsia="zh-CN"/>
              </w:rPr>
              <w:t>每100平方米计容积率建筑面积≥1个</w:t>
            </w:r>
          </w:p>
        </w:tc>
        <w:tc>
          <w:tcPr>
            <w:tcW w:w="808"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eastAsia="zh-CN"/>
              </w:rPr>
              <w:t>住宅、商业及配套设施</w:t>
            </w:r>
          </w:p>
        </w:tc>
        <w:tc>
          <w:tcPr>
            <w:tcW w:w="707" w:type="dxa"/>
            <w:vMerge w:val="restart"/>
            <w:vAlign w:val="center"/>
          </w:tcPr>
          <w:p>
            <w:pPr>
              <w:jc w:val="center"/>
              <w:rPr>
                <w:rFonts w:hint="eastAsia" w:ascii="仿宋" w:hAnsi="仿宋" w:eastAsia="仿宋"/>
                <w:color w:val="auto"/>
                <w:lang w:eastAsia="zh-CN"/>
              </w:rPr>
            </w:pPr>
            <w:r>
              <w:rPr>
                <w:rFonts w:hint="eastAsia" w:ascii="仿宋" w:hAnsi="仿宋" w:eastAsia="仿宋"/>
                <w:color w:val="auto"/>
                <w:lang w:eastAsia="zh-CN"/>
              </w:rPr>
              <w:t>住宅：</w:t>
            </w:r>
            <w:r>
              <w:rPr>
                <w:rFonts w:hint="eastAsia" w:ascii="仿宋" w:hAnsi="仿宋" w:eastAsia="仿宋"/>
                <w:color w:val="auto"/>
                <w:lang w:val="en-US" w:eastAsia="zh-CN"/>
              </w:rPr>
              <w:t>7</w:t>
            </w:r>
            <w:r>
              <w:rPr>
                <w:rFonts w:hint="eastAsia" w:ascii="仿宋" w:hAnsi="仿宋" w:eastAsia="仿宋"/>
                <w:color w:val="auto"/>
                <w:lang w:eastAsia="zh-CN"/>
              </w:rPr>
              <w:t>0</w:t>
            </w:r>
          </w:p>
          <w:p>
            <w:pPr>
              <w:jc w:val="center"/>
              <w:rPr>
                <w:rFonts w:hint="eastAsia" w:ascii="仿宋" w:hAnsi="仿宋" w:eastAsia="仿宋"/>
                <w:color w:val="auto"/>
                <w:lang w:eastAsia="zh-CN"/>
              </w:rPr>
            </w:pPr>
            <w:r>
              <w:rPr>
                <w:rFonts w:hint="eastAsia" w:ascii="仿宋" w:hAnsi="仿宋" w:eastAsia="仿宋"/>
                <w:color w:val="auto"/>
                <w:lang w:val="en-US" w:eastAsia="zh-CN"/>
              </w:rPr>
              <w:t>商业</w:t>
            </w:r>
            <w:r>
              <w:rPr>
                <w:rFonts w:hint="eastAsia" w:ascii="仿宋" w:hAnsi="仿宋" w:eastAsia="仿宋"/>
                <w:color w:val="auto"/>
                <w:lang w:eastAsia="zh-CN"/>
              </w:rPr>
              <w:t>：</w:t>
            </w:r>
            <w:r>
              <w:rPr>
                <w:rFonts w:hint="eastAsia" w:ascii="仿宋" w:hAnsi="仿宋" w:eastAsia="仿宋"/>
                <w:color w:val="auto"/>
                <w:lang w:val="en-US" w:eastAsia="zh-CN"/>
              </w:rPr>
              <w:t>4</w:t>
            </w:r>
            <w:bookmarkStart w:id="0" w:name="_GoBack"/>
            <w:bookmarkEnd w:id="0"/>
            <w:r>
              <w:rPr>
                <w:rFonts w:hint="eastAsia" w:ascii="仿宋" w:hAnsi="仿宋" w:eastAsia="仿宋"/>
                <w:color w:val="auto"/>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828" w:type="dxa"/>
            <w:vMerge w:val="continue"/>
            <w:tcMar>
              <w:left w:w="0" w:type="dxa"/>
              <w:right w:w="0" w:type="dxa"/>
            </w:tcMar>
            <w:vAlign w:val="center"/>
          </w:tcPr>
          <w:p>
            <w:pPr>
              <w:jc w:val="center"/>
            </w:pPr>
          </w:p>
        </w:tc>
        <w:tc>
          <w:tcPr>
            <w:tcW w:w="645" w:type="dxa"/>
            <w:vMerge w:val="continue"/>
            <w:vAlign w:val="center"/>
          </w:tcPr>
          <w:p>
            <w:pPr>
              <w:jc w:val="center"/>
            </w:pPr>
          </w:p>
        </w:tc>
        <w:tc>
          <w:tcPr>
            <w:tcW w:w="660" w:type="dxa"/>
            <w:vMerge w:val="continue"/>
            <w:vAlign w:val="center"/>
          </w:tcPr>
          <w:p>
            <w:pPr>
              <w:jc w:val="center"/>
            </w:pPr>
          </w:p>
        </w:tc>
        <w:tc>
          <w:tcPr>
            <w:tcW w:w="690" w:type="dxa"/>
            <w:vMerge w:val="continue"/>
            <w:tcMar>
              <w:left w:w="0" w:type="dxa"/>
              <w:right w:w="0" w:type="dxa"/>
            </w:tcMar>
            <w:vAlign w:val="center"/>
          </w:tcPr>
          <w:p>
            <w:pPr>
              <w:jc w:val="center"/>
            </w:pPr>
          </w:p>
        </w:tc>
        <w:tc>
          <w:tcPr>
            <w:tcW w:w="735" w:type="dxa"/>
            <w:vMerge w:val="continue"/>
            <w:tcMar>
              <w:left w:w="0" w:type="dxa"/>
              <w:right w:w="0" w:type="dxa"/>
            </w:tcMar>
            <w:vAlign w:val="center"/>
          </w:tcPr>
          <w:p>
            <w:pPr>
              <w:jc w:val="center"/>
            </w:pPr>
          </w:p>
        </w:tc>
        <w:tc>
          <w:tcPr>
            <w:tcW w:w="885" w:type="dxa"/>
            <w:vMerge w:val="continue"/>
            <w:vAlign w:val="center"/>
          </w:tcPr>
          <w:p>
            <w:pPr>
              <w:jc w:val="center"/>
            </w:pPr>
          </w:p>
        </w:tc>
        <w:tc>
          <w:tcPr>
            <w:tcW w:w="690" w:type="dxa"/>
            <w:vMerge w:val="continue"/>
            <w:vAlign w:val="center"/>
          </w:tcPr>
          <w:p>
            <w:pPr>
              <w:jc w:val="center"/>
            </w:pPr>
          </w:p>
        </w:tc>
        <w:tc>
          <w:tcPr>
            <w:tcW w:w="570" w:type="dxa"/>
            <w:vMerge w:val="continue"/>
            <w:vAlign w:val="center"/>
          </w:tcPr>
          <w:p>
            <w:pPr>
              <w:jc w:val="center"/>
            </w:pPr>
          </w:p>
        </w:tc>
        <w:tc>
          <w:tcPr>
            <w:tcW w:w="528" w:type="dxa"/>
            <w:vMerge w:val="continue"/>
            <w:vAlign w:val="center"/>
          </w:tcPr>
          <w:p>
            <w:pPr>
              <w:jc w:val="center"/>
            </w:pPr>
          </w:p>
        </w:tc>
        <w:tc>
          <w:tcPr>
            <w:tcW w:w="525" w:type="dxa"/>
            <w:vMerge w:val="restart"/>
            <w:vAlign w:val="center"/>
          </w:tcPr>
          <w:p>
            <w:pPr>
              <w:jc w:val="center"/>
              <w:rPr>
                <w:rFonts w:hint="eastAsia" w:ascii="仿宋" w:hAnsi="仿宋" w:eastAsia="仿宋" w:cs="仿宋"/>
                <w:lang w:eastAsia="zh-CN"/>
              </w:rPr>
            </w:pPr>
            <w:r>
              <w:rPr>
                <w:rFonts w:hint="eastAsia" w:ascii="仿宋" w:hAnsi="仿宋" w:eastAsia="仿宋" w:cs="仿宋"/>
                <w:lang w:eastAsia="zh-CN"/>
              </w:rPr>
              <w:t>其中</w:t>
            </w:r>
          </w:p>
        </w:tc>
        <w:tc>
          <w:tcPr>
            <w:tcW w:w="1290" w:type="dxa"/>
            <w:vAlign w:val="center"/>
          </w:tcPr>
          <w:p>
            <w:pPr>
              <w:jc w:val="center"/>
              <w:rPr>
                <w:rFonts w:hint="eastAsia" w:ascii="仿宋" w:hAnsi="仿宋" w:eastAsia="仿宋" w:cs="仿宋"/>
              </w:rPr>
            </w:pPr>
            <w:r>
              <w:rPr>
                <w:rFonts w:hint="eastAsia" w:ascii="仿宋" w:hAnsi="仿宋" w:eastAsia="仿宋" w:cs="仿宋"/>
                <w:lang w:eastAsia="zh-CN"/>
              </w:rPr>
              <w:t>商业建筑面积≤15%（不得建设服务型公寓）</w:t>
            </w:r>
          </w:p>
        </w:tc>
        <w:tc>
          <w:tcPr>
            <w:tcW w:w="915" w:type="dxa"/>
            <w:vMerge w:val="continue"/>
            <w:vAlign w:val="center"/>
          </w:tcPr>
          <w:p>
            <w:pPr>
              <w:jc w:val="center"/>
            </w:pPr>
          </w:p>
        </w:tc>
        <w:tc>
          <w:tcPr>
            <w:tcW w:w="808" w:type="dxa"/>
            <w:vMerge w:val="continue"/>
            <w:vAlign w:val="center"/>
          </w:tcPr>
          <w:p>
            <w:pPr>
              <w:jc w:val="center"/>
            </w:pPr>
          </w:p>
        </w:tc>
        <w:tc>
          <w:tcPr>
            <w:tcW w:w="70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28" w:type="dxa"/>
            <w:vMerge w:val="continue"/>
            <w:tcMar>
              <w:left w:w="0" w:type="dxa"/>
              <w:right w:w="0" w:type="dxa"/>
            </w:tcMar>
            <w:vAlign w:val="center"/>
          </w:tcPr>
          <w:p>
            <w:pPr>
              <w:jc w:val="center"/>
            </w:pPr>
          </w:p>
        </w:tc>
        <w:tc>
          <w:tcPr>
            <w:tcW w:w="645" w:type="dxa"/>
            <w:vMerge w:val="continue"/>
            <w:vAlign w:val="center"/>
          </w:tcPr>
          <w:p>
            <w:pPr>
              <w:jc w:val="center"/>
            </w:pPr>
          </w:p>
        </w:tc>
        <w:tc>
          <w:tcPr>
            <w:tcW w:w="660" w:type="dxa"/>
            <w:vMerge w:val="continue"/>
            <w:vAlign w:val="center"/>
          </w:tcPr>
          <w:p>
            <w:pPr>
              <w:jc w:val="center"/>
            </w:pPr>
          </w:p>
        </w:tc>
        <w:tc>
          <w:tcPr>
            <w:tcW w:w="690" w:type="dxa"/>
            <w:vMerge w:val="continue"/>
            <w:tcMar>
              <w:left w:w="0" w:type="dxa"/>
              <w:right w:w="0" w:type="dxa"/>
            </w:tcMar>
            <w:vAlign w:val="center"/>
          </w:tcPr>
          <w:p>
            <w:pPr>
              <w:jc w:val="center"/>
            </w:pPr>
          </w:p>
        </w:tc>
        <w:tc>
          <w:tcPr>
            <w:tcW w:w="735" w:type="dxa"/>
            <w:vMerge w:val="continue"/>
            <w:tcMar>
              <w:left w:w="0" w:type="dxa"/>
              <w:right w:w="0" w:type="dxa"/>
            </w:tcMar>
            <w:vAlign w:val="center"/>
          </w:tcPr>
          <w:p>
            <w:pPr>
              <w:jc w:val="center"/>
            </w:pPr>
          </w:p>
        </w:tc>
        <w:tc>
          <w:tcPr>
            <w:tcW w:w="885" w:type="dxa"/>
            <w:vMerge w:val="continue"/>
            <w:vAlign w:val="center"/>
          </w:tcPr>
          <w:p>
            <w:pPr>
              <w:jc w:val="center"/>
            </w:pPr>
          </w:p>
        </w:tc>
        <w:tc>
          <w:tcPr>
            <w:tcW w:w="690" w:type="dxa"/>
            <w:vMerge w:val="continue"/>
            <w:vAlign w:val="center"/>
          </w:tcPr>
          <w:p>
            <w:pPr>
              <w:jc w:val="center"/>
            </w:pPr>
          </w:p>
        </w:tc>
        <w:tc>
          <w:tcPr>
            <w:tcW w:w="570" w:type="dxa"/>
            <w:vMerge w:val="continue"/>
            <w:vAlign w:val="center"/>
          </w:tcPr>
          <w:p>
            <w:pPr>
              <w:jc w:val="center"/>
            </w:pPr>
          </w:p>
        </w:tc>
        <w:tc>
          <w:tcPr>
            <w:tcW w:w="528" w:type="dxa"/>
            <w:vMerge w:val="continue"/>
            <w:vAlign w:val="center"/>
          </w:tcPr>
          <w:p>
            <w:pPr>
              <w:jc w:val="center"/>
            </w:pPr>
          </w:p>
        </w:tc>
        <w:tc>
          <w:tcPr>
            <w:tcW w:w="525" w:type="dxa"/>
            <w:vMerge w:val="continue"/>
            <w:vAlign w:val="center"/>
          </w:tcPr>
          <w:p>
            <w:pPr>
              <w:jc w:val="center"/>
              <w:rPr>
                <w:rFonts w:hint="eastAsia" w:ascii="仿宋" w:hAnsi="仿宋" w:eastAsia="仿宋" w:cs="仿宋"/>
              </w:rPr>
            </w:pPr>
          </w:p>
        </w:tc>
        <w:tc>
          <w:tcPr>
            <w:tcW w:w="1290" w:type="dxa"/>
            <w:vAlign w:val="center"/>
          </w:tcPr>
          <w:p>
            <w:pPr>
              <w:jc w:val="center"/>
              <w:rPr>
                <w:rFonts w:hint="eastAsia" w:ascii="仿宋" w:hAnsi="仿宋" w:eastAsia="仿宋" w:cs="仿宋"/>
                <w:lang w:eastAsia="zh-CN"/>
              </w:rPr>
            </w:pPr>
            <w:r>
              <w:rPr>
                <w:rFonts w:hint="eastAsia" w:ascii="仿宋" w:hAnsi="仿宋" w:eastAsia="仿宋" w:cs="仿宋"/>
                <w:lang w:eastAsia="zh-CN"/>
              </w:rPr>
              <w:t>住宅建筑面积＜</w:t>
            </w:r>
            <w:r>
              <w:rPr>
                <w:rFonts w:hint="eastAsia" w:ascii="仿宋" w:hAnsi="仿宋" w:eastAsia="仿宋" w:cs="仿宋"/>
                <w:lang w:val="en-US" w:eastAsia="zh-CN"/>
              </w:rPr>
              <w:t>53178</w:t>
            </w:r>
          </w:p>
        </w:tc>
        <w:tc>
          <w:tcPr>
            <w:tcW w:w="915" w:type="dxa"/>
            <w:vMerge w:val="continue"/>
            <w:vAlign w:val="center"/>
          </w:tcPr>
          <w:p>
            <w:pPr>
              <w:jc w:val="center"/>
            </w:pPr>
          </w:p>
        </w:tc>
        <w:tc>
          <w:tcPr>
            <w:tcW w:w="808" w:type="dxa"/>
            <w:vMerge w:val="continue"/>
            <w:vAlign w:val="center"/>
          </w:tcPr>
          <w:p>
            <w:pPr>
              <w:jc w:val="center"/>
            </w:pPr>
          </w:p>
        </w:tc>
        <w:tc>
          <w:tcPr>
            <w:tcW w:w="70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28" w:type="dxa"/>
            <w:vMerge w:val="continue"/>
            <w:tcMar>
              <w:left w:w="0" w:type="dxa"/>
              <w:right w:w="0" w:type="dxa"/>
            </w:tcMar>
            <w:vAlign w:val="center"/>
          </w:tcPr>
          <w:p>
            <w:pPr>
              <w:jc w:val="center"/>
            </w:pPr>
          </w:p>
        </w:tc>
        <w:tc>
          <w:tcPr>
            <w:tcW w:w="645" w:type="dxa"/>
            <w:vMerge w:val="continue"/>
            <w:vAlign w:val="center"/>
          </w:tcPr>
          <w:p>
            <w:pPr>
              <w:jc w:val="center"/>
            </w:pPr>
          </w:p>
        </w:tc>
        <w:tc>
          <w:tcPr>
            <w:tcW w:w="660" w:type="dxa"/>
            <w:vMerge w:val="continue"/>
            <w:vAlign w:val="center"/>
          </w:tcPr>
          <w:p>
            <w:pPr>
              <w:jc w:val="center"/>
            </w:pPr>
          </w:p>
        </w:tc>
        <w:tc>
          <w:tcPr>
            <w:tcW w:w="690" w:type="dxa"/>
            <w:vMerge w:val="continue"/>
            <w:tcMar>
              <w:left w:w="0" w:type="dxa"/>
              <w:right w:w="0" w:type="dxa"/>
            </w:tcMar>
            <w:vAlign w:val="center"/>
          </w:tcPr>
          <w:p>
            <w:pPr>
              <w:jc w:val="center"/>
            </w:pPr>
          </w:p>
        </w:tc>
        <w:tc>
          <w:tcPr>
            <w:tcW w:w="735" w:type="dxa"/>
            <w:vMerge w:val="continue"/>
            <w:tcMar>
              <w:left w:w="0" w:type="dxa"/>
              <w:right w:w="0" w:type="dxa"/>
            </w:tcMar>
            <w:vAlign w:val="center"/>
          </w:tcPr>
          <w:p>
            <w:pPr>
              <w:jc w:val="center"/>
            </w:pPr>
          </w:p>
        </w:tc>
        <w:tc>
          <w:tcPr>
            <w:tcW w:w="885" w:type="dxa"/>
            <w:vMerge w:val="continue"/>
            <w:vAlign w:val="center"/>
          </w:tcPr>
          <w:p>
            <w:pPr>
              <w:jc w:val="center"/>
            </w:pPr>
          </w:p>
        </w:tc>
        <w:tc>
          <w:tcPr>
            <w:tcW w:w="690" w:type="dxa"/>
            <w:vMerge w:val="continue"/>
            <w:vAlign w:val="center"/>
          </w:tcPr>
          <w:p>
            <w:pPr>
              <w:jc w:val="center"/>
            </w:pPr>
          </w:p>
        </w:tc>
        <w:tc>
          <w:tcPr>
            <w:tcW w:w="570" w:type="dxa"/>
            <w:vMerge w:val="continue"/>
            <w:vAlign w:val="center"/>
          </w:tcPr>
          <w:p>
            <w:pPr>
              <w:jc w:val="center"/>
            </w:pPr>
          </w:p>
        </w:tc>
        <w:tc>
          <w:tcPr>
            <w:tcW w:w="528" w:type="dxa"/>
            <w:vMerge w:val="continue"/>
            <w:vAlign w:val="center"/>
          </w:tcPr>
          <w:p>
            <w:pPr>
              <w:jc w:val="center"/>
            </w:pPr>
          </w:p>
        </w:tc>
        <w:tc>
          <w:tcPr>
            <w:tcW w:w="525" w:type="dxa"/>
            <w:vMerge w:val="continue"/>
            <w:vAlign w:val="center"/>
          </w:tcPr>
          <w:p>
            <w:pPr>
              <w:jc w:val="center"/>
              <w:rPr>
                <w:rFonts w:hint="eastAsia" w:ascii="仿宋" w:hAnsi="仿宋" w:eastAsia="仿宋" w:cs="仿宋"/>
              </w:rPr>
            </w:pPr>
          </w:p>
        </w:tc>
        <w:tc>
          <w:tcPr>
            <w:tcW w:w="1290"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配套设施建筑面积＞450</w:t>
            </w:r>
          </w:p>
        </w:tc>
        <w:tc>
          <w:tcPr>
            <w:tcW w:w="915" w:type="dxa"/>
            <w:vMerge w:val="continue"/>
            <w:vAlign w:val="center"/>
          </w:tcPr>
          <w:p>
            <w:pPr>
              <w:jc w:val="center"/>
            </w:pPr>
          </w:p>
        </w:tc>
        <w:tc>
          <w:tcPr>
            <w:tcW w:w="808" w:type="dxa"/>
            <w:vMerge w:val="continue"/>
            <w:vAlign w:val="center"/>
          </w:tcPr>
          <w:p>
            <w:pPr>
              <w:jc w:val="center"/>
            </w:pPr>
          </w:p>
        </w:tc>
        <w:tc>
          <w:tcPr>
            <w:tcW w:w="707" w:type="dxa"/>
            <w:vMerge w:val="continue"/>
            <w:vAlign w:val="center"/>
          </w:tcPr>
          <w:p>
            <w:pPr>
              <w:jc w:val="center"/>
            </w:pPr>
          </w:p>
        </w:tc>
      </w:tr>
    </w:tbl>
    <w:p>
      <w:pPr>
        <w:spacing w:line="520" w:lineRule="exact"/>
        <w:ind w:right="640" w:firstLine="5120" w:firstLineChars="1600"/>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440" w:bottom="1440" w:left="1440" w:header="851" w:footer="992" w:gutter="0"/>
          <w:pgNumType w:fmt="numberInDash"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A4BC7"/>
    <w:rsid w:val="01DE010A"/>
    <w:rsid w:val="0A655AD4"/>
    <w:rsid w:val="213D57A7"/>
    <w:rsid w:val="223F3A5C"/>
    <w:rsid w:val="2ABA4DE8"/>
    <w:rsid w:val="33687283"/>
    <w:rsid w:val="49CF643D"/>
    <w:rsid w:val="51CA4BC7"/>
    <w:rsid w:val="569E541F"/>
    <w:rsid w:val="57743881"/>
    <w:rsid w:val="5A480BE1"/>
    <w:rsid w:val="5E0D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2020-08-10T01:11:00Z</dcterms:created>
  <dc:creator>黄春枚</dc:creator>
  <cp:lastModifiedBy>黄春枚</cp:lastModifiedBy>
  <cp:lastPrinted>2020-08-10T02:41:00Z</cp:lastPrinted>
  <dcterms:modified xsi:type="dcterms:W3CDTF">2020-08-10T07:56:21Z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