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号</w:t>
      </w:r>
    </w:p>
    <w:p>
      <w:pPr>
        <w:spacing w:line="520" w:lineRule="exact"/>
        <w:ind w:firstLine="640" w:firstLineChars="200"/>
        <w:jc w:val="center"/>
        <w:rPr>
          <w:rFonts w:hint="eastAsia" w:ascii="仿宋_GB2312" w:hAnsi="仿宋_GB2312" w:eastAsia="仿宋_GB2312" w:cs="仿宋_GB2312"/>
          <w:sz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82060</w:t>
      </w:r>
      <w:r>
        <w:rPr>
          <w:rFonts w:hint="eastAsia" w:ascii="仿宋_GB2312" w:hAnsi="仿宋_GB2312" w:eastAsia="仿宋_GB2312" w:cs="仿宋_GB2312"/>
          <w:sz w:val="32"/>
          <w:szCs w:val="32"/>
        </w:rPr>
        <w:t>万元,每次报价加价幅度为人民币1000万元的整数倍。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16412</w:t>
      </w:r>
      <w:r>
        <w:rPr>
          <w:rFonts w:hint="eastAsia" w:hAnsi="仿宋_GB2312" w:cs="仿宋_GB2312"/>
          <w:color w:val="auto"/>
          <w:szCs w:val="32"/>
          <w:lang w:eastAsia="zh-CN"/>
        </w:rPr>
        <w:t>万元人民币，如以外币缴交竞买保证金的，须缴交美元</w:t>
      </w:r>
      <w:r>
        <w:rPr>
          <w:rFonts w:hint="eastAsia" w:hAnsi="仿宋_GB2312" w:cs="仿宋_GB2312"/>
          <w:color w:val="auto"/>
          <w:szCs w:val="32"/>
          <w:lang w:val="en-US" w:eastAsia="zh-CN"/>
        </w:rPr>
        <w:t>2318</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17969</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（二）</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127762</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：PB20200001</w:t>
      </w:r>
      <w:r>
        <w:rPr>
          <w:rFonts w:hint="eastAsia" w:hAnsi="仿宋_GB2312" w:cs="仿宋_GB2312"/>
          <w:szCs w:val="32"/>
          <w:lang w:eastAsia="zh-CN"/>
        </w:rPr>
        <w:t>）规划控制指标要求及有关规定进行规划设计。</w:t>
      </w:r>
    </w:p>
    <w:p>
      <w:pPr>
        <w:pStyle w:val="2"/>
        <w:widowControl w:val="0"/>
        <w:spacing w:line="520" w:lineRule="exact"/>
        <w:jc w:val="both"/>
        <w:rPr>
          <w:rFonts w:hint="eastAsia" w:ascii="仿宋_GB2312" w:hAnsi="仿宋" w:eastAsia="仿宋_GB2312"/>
          <w:kern w:val="2"/>
          <w:sz w:val="32"/>
          <w:szCs w:val="32"/>
          <w:lang w:eastAsia="zh-CN"/>
        </w:rPr>
      </w:pPr>
      <w:r>
        <w:rPr>
          <w:rFonts w:hint="eastAsia" w:hAnsi="仿宋_GB2312" w:cs="仿宋_GB2312"/>
          <w:szCs w:val="32"/>
          <w:lang w:val="en-US" w:eastAsia="zh-CN"/>
        </w:rPr>
        <w:t>（五）</w:t>
      </w:r>
      <w:r>
        <w:rPr>
          <w:rFonts w:hint="eastAsia" w:ascii="仿宋_GB2312" w:hAnsi="仿宋" w:eastAsia="仿宋_GB2312"/>
          <w:kern w:val="2"/>
          <w:sz w:val="32"/>
          <w:szCs w:val="32"/>
          <w:lang w:eastAsia="zh-CN"/>
        </w:rPr>
        <w:t>竞得人应</w:t>
      </w:r>
      <w:r>
        <w:rPr>
          <w:rFonts w:hint="eastAsia" w:ascii="仿宋_GB2312" w:hAnsi="仿宋" w:eastAsia="仿宋_GB2312"/>
          <w:kern w:val="2"/>
          <w:sz w:val="32"/>
          <w:szCs w:val="32"/>
        </w:rPr>
        <w:t>按照规划要求和惠城区教育局提出的建设标准完成配套幼儿园建设并无偿移交，不动产登记部门在办理分割登记时，将幼儿园办至惠城区教育局名下。幼儿园应与项目同步规划、同步建设、同步实施，XTX05-04地块如分期建设，幼儿园须纳入首期工程</w:t>
      </w:r>
      <w:r>
        <w:rPr>
          <w:rFonts w:hint="eastAsia" w:ascii="仿宋_GB2312" w:hAnsi="仿宋" w:eastAsia="仿宋_GB2312"/>
          <w:kern w:val="2"/>
          <w:sz w:val="32"/>
          <w:szCs w:val="32"/>
          <w:lang w:eastAsia="zh-CN"/>
        </w:rPr>
        <w:t>。</w:t>
      </w:r>
    </w:p>
    <w:p>
      <w:pPr>
        <w:spacing w:line="560" w:lineRule="exact"/>
        <w:ind w:firstLine="627" w:firstLineChars="196"/>
        <w:jc w:val="both"/>
        <w:rPr>
          <w:rFonts w:hint="eastAsia" w:ascii="仿宋_GB2312" w:hAnsi="仿宋" w:eastAsia="仿宋_GB2312"/>
          <w:kern w:val="2"/>
          <w:sz w:val="32"/>
          <w:szCs w:val="32"/>
        </w:rPr>
      </w:pPr>
      <w:r>
        <w:rPr>
          <w:rFonts w:hint="eastAsia" w:ascii="仿宋_GB2312" w:hAnsi="仿宋" w:eastAsia="仿宋_GB2312"/>
          <w:kern w:val="2"/>
          <w:sz w:val="32"/>
          <w:szCs w:val="32"/>
          <w:lang w:eastAsia="zh-CN"/>
        </w:rPr>
        <w:t>（六）</w:t>
      </w:r>
      <w:r>
        <w:rPr>
          <w:rFonts w:hint="eastAsia" w:ascii="仿宋_GB2312" w:hAnsi="仿宋" w:eastAsia="仿宋_GB2312"/>
          <w:kern w:val="2"/>
          <w:sz w:val="32"/>
          <w:szCs w:val="32"/>
        </w:rPr>
        <w:t>取得XTX05-04地块土地使用权人应按照《规划设计条件告知书》（案卷编号：PB20</w:t>
      </w:r>
      <w:r>
        <w:rPr>
          <w:rFonts w:hint="eastAsia" w:ascii="仿宋_GB2312" w:hAnsi="仿宋" w:eastAsia="仿宋_GB2312"/>
          <w:kern w:val="2"/>
          <w:sz w:val="32"/>
          <w:szCs w:val="32"/>
          <w:lang w:val="en-US" w:eastAsia="zh-CN"/>
        </w:rPr>
        <w:t>200001</w:t>
      </w:r>
      <w:r>
        <w:rPr>
          <w:rFonts w:hint="eastAsia" w:ascii="仿宋_GB2312" w:hAnsi="仿宋" w:eastAsia="仿宋_GB2312"/>
          <w:kern w:val="2"/>
          <w:sz w:val="32"/>
          <w:szCs w:val="32"/>
        </w:rPr>
        <w:t>）的规划要求配建相应的配套设施。</w:t>
      </w:r>
    </w:p>
    <w:p>
      <w:pPr>
        <w:pStyle w:val="3"/>
        <w:ind w:firstLine="640" w:firstLineChars="200"/>
        <w:rPr>
          <w:rFonts w:hint="eastAsia" w:ascii="方正楷体_GBK" w:hAnsi="宋体" w:eastAsia="方正楷体_GBK" w:cs="仿宋_GB2312"/>
          <w:b/>
          <w:u w:val="none"/>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联系电话：（0752）7121026、7121042</w:t>
      </w:r>
    </w:p>
    <w:p>
      <w:pPr>
        <w:spacing w:line="52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注：本公告同时在下列网站及场所发布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数字证书办理地址：惠州市江北云山西路二号帝景国际商务中心七层18-22房。</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firstLine="640" w:firstLineChars="200"/>
        <w:rPr>
          <w:rFonts w:hint="eastAsia" w:ascii="仿宋_GB2312" w:hAnsi="仿宋_GB2312" w:eastAsia="仿宋_GB2312" w:cs="仿宋_GB2312"/>
          <w:sz w:val="32"/>
          <w:szCs w:val="32"/>
        </w:rPr>
      </w:pPr>
    </w:p>
    <w:p>
      <w:pPr>
        <w:spacing w:line="520" w:lineRule="exact"/>
        <w:ind w:right="640" w:firstLine="5350" w:firstLineChars="1672"/>
        <w:rPr>
          <w:rFonts w:hint="eastAsia" w:ascii="仿宋_GB2312" w:hAnsi="仿宋_GB2312" w:eastAsia="仿宋_GB2312" w:cs="仿宋_GB2312"/>
          <w:sz w:val="32"/>
          <w:szCs w:val="32"/>
        </w:rPr>
      </w:pPr>
    </w:p>
    <w:p>
      <w:pPr>
        <w:spacing w:line="520" w:lineRule="exact"/>
        <w:ind w:right="640" w:firstLine="5350" w:firstLineChars="167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440" w:firstLineChars="1700"/>
        <w:rPr>
          <w:rFonts w:hint="default" w:ascii="仿宋_GB2312" w:eastAsia="仿宋_GB2312"/>
          <w:sz w:val="32"/>
          <w:szCs w:val="32"/>
          <w:lang w:val="en-US" w:eastAsia="zh-CN"/>
        </w:rPr>
        <w:sectPr>
          <w:headerReference r:id="rId3" w:type="default"/>
          <w:footerReference r:id="rId4" w:type="default"/>
          <w:pgSz w:w="11906" w:h="16838"/>
          <w:pgMar w:top="1440" w:right="1440" w:bottom="1440" w:left="1440" w:header="851" w:footer="992" w:gutter="0"/>
          <w:pgNumType w:fmt="numberInDash" w:start="1"/>
          <w:cols w:space="720" w:num="1"/>
          <w:docGrid w:type="lines" w:linePitch="312" w:charSpace="0"/>
        </w:sectPr>
      </w:pPr>
      <w:r>
        <w:rPr>
          <w:rFonts w:hint="eastAsia" w:ascii="仿宋_GB2312" w:eastAsia="仿宋_GB2312"/>
          <w:sz w:val="32"/>
          <w:szCs w:val="32"/>
          <w:lang w:val="en-US" w:eastAsia="zh-CN"/>
        </w:rPr>
        <w:t>2020年4月30日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10"/>
        <w:gridCol w:w="735"/>
        <w:gridCol w:w="690"/>
        <w:gridCol w:w="735"/>
        <w:gridCol w:w="735"/>
        <w:gridCol w:w="525"/>
        <w:gridCol w:w="495"/>
        <w:gridCol w:w="483"/>
        <w:gridCol w:w="390"/>
        <w:gridCol w:w="1635"/>
        <w:gridCol w:w="855"/>
        <w:gridCol w:w="8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83"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810"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73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690"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73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5928" w:type="dxa"/>
            <w:gridSpan w:val="8"/>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795"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lang w:eastAsia="zh-CN"/>
              </w:rPr>
            </w:pPr>
            <w:r>
              <w:rPr>
                <w:rFonts w:hint="eastAsia" w:ascii="仿宋_GB2312" w:eastAsia="仿宋_GB2312"/>
                <w:b/>
                <w:bCs/>
                <w:color w:val="auto"/>
                <w:szCs w:val="21"/>
              </w:rPr>
              <w:t>土地使用权出让年限</w:t>
            </w:r>
            <w:r>
              <w:rPr>
                <w:rFonts w:hint="eastAsia" w:ascii="仿宋_GB2312" w:eastAsia="仿宋_GB2312"/>
                <w:b/>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jc w:val="center"/>
        </w:trPr>
        <w:tc>
          <w:tcPr>
            <w:tcW w:w="783"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1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3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9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3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35"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525" w:type="dxa"/>
            <w:vAlign w:val="center"/>
          </w:tcPr>
          <w:p>
            <w:pPr>
              <w:jc w:val="center"/>
              <w:rPr>
                <w:rFonts w:hint="default" w:ascii="仿宋_GB2312" w:hAnsi="Times New Roman" w:eastAsia="仿宋_GB2312"/>
                <w:color w:val="auto"/>
                <w:szCs w:val="21"/>
                <w:lang w:val="en-US" w:eastAsia="zh-CN"/>
              </w:rPr>
            </w:pPr>
            <w:r>
              <w:rPr>
                <w:rFonts w:hint="default" w:ascii="仿宋_GB2312" w:hAnsi="Times New Roman" w:eastAsia="仿宋_GB2312"/>
                <w:b/>
                <w:bCs/>
                <w:color w:val="auto"/>
                <w:szCs w:val="21"/>
                <w:lang w:val="en-US" w:eastAsia="zh-CN"/>
              </w:rPr>
              <w:t>建筑密度（%）</w:t>
            </w:r>
          </w:p>
        </w:tc>
        <w:tc>
          <w:tcPr>
            <w:tcW w:w="495"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容积率</w:t>
            </w:r>
          </w:p>
        </w:tc>
        <w:tc>
          <w:tcPr>
            <w:tcW w:w="483" w:type="dxa"/>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绿地率（%）</w:t>
            </w:r>
          </w:p>
        </w:tc>
        <w:tc>
          <w:tcPr>
            <w:tcW w:w="2025" w:type="dxa"/>
            <w:gridSpan w:val="2"/>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tc>
        <w:tc>
          <w:tcPr>
            <w:tcW w:w="855" w:type="dxa"/>
            <w:vAlign w:val="center"/>
          </w:tcPr>
          <w:p>
            <w:pPr>
              <w:adjustRightInd w:val="0"/>
              <w:snapToGrid w:val="0"/>
              <w:spacing w:line="320" w:lineRule="exact"/>
              <w:ind w:left="-27" w:leftChars="-51" w:hanging="80" w:hangingChars="38"/>
              <w:jc w:val="center"/>
              <w:rPr>
                <w:rFonts w:hint="eastAsia" w:ascii="仿宋_GB2312" w:eastAsia="仿宋_GB2312"/>
                <w:b/>
                <w:bCs/>
                <w:color w:val="auto"/>
              </w:rPr>
            </w:pPr>
            <w:r>
              <w:rPr>
                <w:rFonts w:hint="eastAsia" w:ascii="仿宋_GB2312" w:eastAsia="仿宋_GB2312"/>
                <w:b/>
                <w:bCs/>
                <w:color w:val="auto"/>
              </w:rPr>
              <w:t>机动车停车位（个）</w:t>
            </w:r>
          </w:p>
        </w:tc>
        <w:tc>
          <w:tcPr>
            <w:tcW w:w="810"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r>
              <w:rPr>
                <w:rFonts w:hint="eastAsia" w:ascii="仿宋_GB2312" w:eastAsia="仿宋_GB2312"/>
                <w:b/>
                <w:bCs/>
                <w:color w:val="auto"/>
                <w:lang w:eastAsia="zh-CN"/>
              </w:rPr>
              <w:t>适建性</w:t>
            </w:r>
          </w:p>
        </w:tc>
        <w:tc>
          <w:tcPr>
            <w:tcW w:w="795"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783" w:type="dxa"/>
            <w:vMerge w:val="restart"/>
            <w:tcMar>
              <w:left w:w="0" w:type="dxa"/>
              <w:right w:w="0" w:type="dxa"/>
            </w:tcMar>
            <w:vAlign w:val="center"/>
          </w:tcPr>
          <w:p>
            <w:pPr>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GP2020</w:t>
            </w:r>
          </w:p>
          <w:p>
            <w:pPr>
              <w:jc w:val="center"/>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-14</w:t>
            </w:r>
          </w:p>
        </w:tc>
        <w:tc>
          <w:tcPr>
            <w:tcW w:w="810" w:type="dxa"/>
            <w:vMerge w:val="restart"/>
            <w:vAlign w:val="center"/>
          </w:tcPr>
          <w:p>
            <w:pPr>
              <w:jc w:val="center"/>
              <w:rPr>
                <w:rFonts w:hint="eastAsia" w:ascii="仿宋_GB2312" w:hAnsi="Times New Roman" w:eastAsia="仿宋_GB2312"/>
                <w:color w:val="auto"/>
                <w:szCs w:val="21"/>
                <w:lang w:eastAsia="zh-CN"/>
              </w:rPr>
            </w:pPr>
            <w:r>
              <w:rPr>
                <w:rFonts w:hint="eastAsia" w:ascii="仿宋_GB2312" w:eastAsia="仿宋_GB2312"/>
                <w:color w:val="auto"/>
                <w:szCs w:val="21"/>
                <w:lang w:val="en-US" w:eastAsia="zh-CN"/>
              </w:rPr>
              <w:t>惠州市</w:t>
            </w:r>
            <w:r>
              <w:rPr>
                <w:rFonts w:hint="eastAsia" w:ascii="仿宋_GB2312" w:hAnsi="Times New Roman" w:eastAsia="仿宋_GB2312"/>
                <w:color w:val="auto"/>
                <w:szCs w:val="21"/>
                <w:lang w:eastAsia="zh-CN"/>
              </w:rPr>
              <w:t>小金口小铁村XTX05-04地块</w:t>
            </w:r>
          </w:p>
        </w:tc>
        <w:tc>
          <w:tcPr>
            <w:tcW w:w="735" w:type="dxa"/>
            <w:vMerge w:val="restart"/>
            <w:vAlign w:val="center"/>
          </w:tcPr>
          <w:p>
            <w:pPr>
              <w:jc w:val="center"/>
              <w:rPr>
                <w:rFonts w:hint="default" w:ascii="仿宋_GB2312" w:hAnsi="Times New Roman" w:eastAsia="仿宋_GB2312"/>
                <w:color w:val="auto"/>
                <w:szCs w:val="21"/>
                <w:lang w:val="en-US" w:eastAsia="zh-CN"/>
              </w:rPr>
            </w:pPr>
            <w:r>
              <w:rPr>
                <w:rFonts w:hint="eastAsia" w:ascii="仿宋_GB2312" w:hAnsi="仿宋_GB2312" w:eastAsia="仿宋_GB2312" w:cs="仿宋_GB2312"/>
                <w:color w:val="auto"/>
              </w:rPr>
              <w:t>XTX05-04</w:t>
            </w:r>
          </w:p>
        </w:tc>
        <w:tc>
          <w:tcPr>
            <w:tcW w:w="690" w:type="dxa"/>
            <w:vMerge w:val="restart"/>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住宅、</w:t>
            </w:r>
            <w:r>
              <w:rPr>
                <w:rFonts w:hint="eastAsia" w:ascii="仿宋_GB2312" w:hAnsi="Times New Roman" w:eastAsia="仿宋_GB2312"/>
                <w:color w:val="auto"/>
                <w:szCs w:val="21"/>
                <w:lang w:val="en-US" w:eastAsia="zh-CN"/>
              </w:rPr>
              <w:t>商</w:t>
            </w:r>
            <w:r>
              <w:rPr>
                <w:rFonts w:hint="eastAsia" w:ascii="仿宋_GB2312" w:eastAsia="仿宋_GB2312"/>
                <w:color w:val="auto"/>
                <w:szCs w:val="21"/>
                <w:lang w:val="en-US" w:eastAsia="zh-CN"/>
              </w:rPr>
              <w:t>服</w:t>
            </w:r>
            <w:r>
              <w:rPr>
                <w:rFonts w:hint="eastAsia" w:ascii="仿宋_GB2312" w:hAnsi="Times New Roman" w:eastAsia="仿宋_GB2312"/>
                <w:color w:val="auto"/>
                <w:szCs w:val="21"/>
                <w:lang w:val="en-US" w:eastAsia="zh-CN"/>
              </w:rPr>
              <w:t>用地</w:t>
            </w:r>
          </w:p>
        </w:tc>
        <w:tc>
          <w:tcPr>
            <w:tcW w:w="735" w:type="dxa"/>
            <w:vMerge w:val="restart"/>
            <w:tcMar>
              <w:left w:w="0" w:type="dxa"/>
              <w:right w:w="0" w:type="dxa"/>
            </w:tcMar>
            <w:vAlign w:val="center"/>
          </w:tcPr>
          <w:p>
            <w:pPr>
              <w:jc w:val="center"/>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40586.89</w:t>
            </w:r>
          </w:p>
        </w:tc>
        <w:tc>
          <w:tcPr>
            <w:tcW w:w="735" w:type="dxa"/>
            <w:vMerge w:val="restart"/>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50780.33</w:t>
            </w:r>
          </w:p>
        </w:tc>
        <w:tc>
          <w:tcPr>
            <w:tcW w:w="525" w:type="dxa"/>
            <w:vMerge w:val="restart"/>
            <w:vAlign w:val="center"/>
          </w:tcPr>
          <w:p>
            <w:pPr>
              <w:jc w:val="center"/>
              <w:rPr>
                <w:rFonts w:hint="default" w:ascii="仿宋" w:hAnsi="仿宋" w:eastAsia="仿宋"/>
                <w:color w:val="auto"/>
                <w:lang w:val="en-US" w:eastAsia="zh-CN"/>
              </w:rPr>
            </w:pPr>
            <w:r>
              <w:rPr>
                <w:rFonts w:hint="eastAsia" w:ascii="仿宋" w:hAnsi="仿宋" w:eastAsia="仿宋"/>
                <w:color w:val="auto"/>
                <w:lang w:val="en-US" w:eastAsia="zh-CN"/>
              </w:rPr>
              <w:t>≤22</w:t>
            </w:r>
          </w:p>
        </w:tc>
        <w:tc>
          <w:tcPr>
            <w:tcW w:w="495" w:type="dxa"/>
            <w:vMerge w:val="restart"/>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≤3.0</w:t>
            </w:r>
          </w:p>
        </w:tc>
        <w:tc>
          <w:tcPr>
            <w:tcW w:w="483" w:type="dxa"/>
            <w:vMerge w:val="restart"/>
            <w:vAlign w:val="center"/>
          </w:tcPr>
          <w:p>
            <w:pPr>
              <w:ind w:left="-103"/>
              <w:jc w:val="center"/>
              <w:rPr>
                <w:rFonts w:hint="eastAsia" w:ascii="仿宋" w:hAnsi="仿宋" w:eastAsia="仿宋"/>
                <w:color w:val="auto"/>
                <w:lang w:val="en-US" w:eastAsia="zh-CN"/>
              </w:rPr>
            </w:pPr>
            <w:r>
              <w:rPr>
                <w:rFonts w:hint="eastAsia" w:ascii="仿宋" w:hAnsi="仿宋" w:eastAsia="仿宋"/>
                <w:color w:val="auto"/>
                <w:lang w:val="en-US" w:eastAsia="zh-CN"/>
              </w:rPr>
              <w:t>≥35</w:t>
            </w:r>
          </w:p>
        </w:tc>
        <w:tc>
          <w:tcPr>
            <w:tcW w:w="2025" w:type="dxa"/>
            <w:gridSpan w:val="2"/>
            <w:vAlign w:val="center"/>
          </w:tcPr>
          <w:p>
            <w:pPr>
              <w:jc w:val="center"/>
              <w:rPr>
                <w:rFonts w:hint="eastAsia" w:ascii="仿宋" w:hAnsi="仿宋" w:eastAsia="仿宋" w:cs="仿宋"/>
                <w:color w:val="auto"/>
                <w:szCs w:val="21"/>
              </w:rPr>
            </w:pPr>
            <w:r>
              <w:rPr>
                <w:rFonts w:hint="eastAsia" w:ascii="仿宋" w:hAnsi="仿宋" w:eastAsia="仿宋" w:cs="仿宋"/>
                <w:color w:val="auto"/>
                <w:lang w:eastAsia="zh-CN"/>
              </w:rPr>
              <w:t>≤</w:t>
            </w:r>
            <w:r>
              <w:rPr>
                <w:rFonts w:hint="eastAsia" w:ascii="仿宋" w:hAnsi="仿宋" w:eastAsia="仿宋" w:cs="仿宋"/>
                <w:color w:val="auto"/>
              </w:rPr>
              <w:t>152340</w:t>
            </w:r>
          </w:p>
        </w:tc>
        <w:tc>
          <w:tcPr>
            <w:tcW w:w="855" w:type="dxa"/>
            <w:vMerge w:val="restart"/>
            <w:vAlign w:val="center"/>
          </w:tcPr>
          <w:p>
            <w:pPr>
              <w:jc w:val="center"/>
              <w:rPr>
                <w:rFonts w:hint="default" w:ascii="仿宋_GB2312" w:hAnsi="Times New Roman" w:eastAsia="仿宋"/>
                <w:color w:val="auto"/>
                <w:szCs w:val="21"/>
                <w:lang w:val="en-US" w:eastAsia="zh-CN"/>
              </w:rPr>
            </w:pPr>
            <w:r>
              <w:rPr>
                <w:rFonts w:hint="eastAsia" w:ascii="仿宋" w:hAnsi="仿宋" w:eastAsia="仿宋"/>
                <w:color w:val="auto"/>
                <w:lang w:eastAsia="zh-CN"/>
              </w:rPr>
              <w:t>每100平方米计容积率建筑面积≥1个</w:t>
            </w:r>
          </w:p>
        </w:tc>
        <w:tc>
          <w:tcPr>
            <w:tcW w:w="810"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eastAsia="zh-CN"/>
              </w:rPr>
              <w:t>住宅、商业及配套设施</w:t>
            </w:r>
          </w:p>
        </w:tc>
        <w:tc>
          <w:tcPr>
            <w:tcW w:w="795"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val="en-US" w:eastAsia="zh-CN"/>
              </w:rPr>
              <w:t>住宅</w:t>
            </w:r>
            <w:r>
              <w:rPr>
                <w:rFonts w:hint="eastAsia" w:ascii="仿宋" w:hAnsi="仿宋" w:eastAsia="仿宋"/>
                <w:color w:val="auto"/>
                <w:lang w:eastAsia="zh-CN"/>
              </w:rPr>
              <w:t>：</w:t>
            </w:r>
            <w:r>
              <w:rPr>
                <w:rFonts w:hint="eastAsia" w:ascii="仿宋" w:hAnsi="仿宋" w:eastAsia="仿宋"/>
                <w:color w:val="auto"/>
                <w:lang w:val="en-US" w:eastAsia="zh-CN"/>
              </w:rPr>
              <w:t>7</w:t>
            </w:r>
            <w:r>
              <w:rPr>
                <w:rFonts w:hint="eastAsia" w:ascii="仿宋" w:hAnsi="仿宋" w:eastAsia="仿宋"/>
                <w:color w:val="auto"/>
                <w:lang w:eastAsia="zh-CN"/>
              </w:rPr>
              <w:t>0</w:t>
            </w:r>
          </w:p>
          <w:p>
            <w:pPr>
              <w:jc w:val="center"/>
              <w:rPr>
                <w:rFonts w:hint="eastAsia" w:ascii="仿宋" w:hAnsi="仿宋" w:eastAsia="仿宋"/>
                <w:color w:val="auto"/>
                <w:lang w:eastAsia="zh-CN"/>
              </w:rPr>
            </w:pPr>
            <w:r>
              <w:rPr>
                <w:rFonts w:hint="eastAsia" w:ascii="仿宋" w:hAnsi="仿宋" w:eastAsia="仿宋"/>
                <w:color w:val="auto"/>
                <w:lang w:val="en-US" w:eastAsia="zh-CN"/>
              </w:rPr>
              <w:t>商服</w:t>
            </w:r>
            <w:r>
              <w:rPr>
                <w:rFonts w:hint="eastAsia" w:ascii="仿宋" w:hAnsi="仿宋" w:eastAsia="仿宋"/>
                <w:color w:val="auto"/>
                <w:lang w:eastAsia="zh-CN"/>
              </w:rPr>
              <w:t>：</w:t>
            </w:r>
            <w:r>
              <w:rPr>
                <w:rFonts w:hint="eastAsia" w:ascii="仿宋" w:hAnsi="仿宋" w:eastAsia="仿宋"/>
                <w:color w:val="auto"/>
                <w:lang w:val="en-US" w:eastAsia="zh-CN"/>
              </w:rPr>
              <w:t>4</w:t>
            </w:r>
            <w:r>
              <w:rPr>
                <w:rFonts w:hint="eastAsia" w:ascii="仿宋" w:hAnsi="仿宋" w:eastAsia="仿宋"/>
                <w:color w:val="auto"/>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783" w:type="dxa"/>
            <w:vMerge w:val="continue"/>
            <w:tcMar>
              <w:left w:w="0" w:type="dxa"/>
              <w:right w:w="0" w:type="dxa"/>
            </w:tcMar>
            <w:vAlign w:val="center"/>
          </w:tcPr>
          <w:p>
            <w:pPr>
              <w:jc w:val="center"/>
            </w:pPr>
          </w:p>
        </w:tc>
        <w:tc>
          <w:tcPr>
            <w:tcW w:w="810" w:type="dxa"/>
            <w:vMerge w:val="continue"/>
            <w:vAlign w:val="center"/>
          </w:tcPr>
          <w:p>
            <w:pPr>
              <w:jc w:val="center"/>
            </w:pPr>
          </w:p>
        </w:tc>
        <w:tc>
          <w:tcPr>
            <w:tcW w:w="735" w:type="dxa"/>
            <w:vMerge w:val="continue"/>
            <w:vAlign w:val="center"/>
          </w:tcPr>
          <w:p>
            <w:pPr>
              <w:jc w:val="center"/>
            </w:pPr>
          </w:p>
        </w:tc>
        <w:tc>
          <w:tcPr>
            <w:tcW w:w="690" w:type="dxa"/>
            <w:vMerge w:val="continue"/>
            <w:tcMar>
              <w:left w:w="0" w:type="dxa"/>
              <w:right w:w="0" w:type="dxa"/>
            </w:tcMar>
            <w:vAlign w:val="center"/>
          </w:tcPr>
          <w:p>
            <w:pPr>
              <w:jc w:val="center"/>
            </w:pPr>
          </w:p>
        </w:tc>
        <w:tc>
          <w:tcPr>
            <w:tcW w:w="735" w:type="dxa"/>
            <w:vMerge w:val="continue"/>
            <w:tcMar>
              <w:left w:w="0" w:type="dxa"/>
              <w:right w:w="0" w:type="dxa"/>
            </w:tcMar>
            <w:vAlign w:val="center"/>
          </w:tcPr>
          <w:p>
            <w:pPr>
              <w:jc w:val="center"/>
            </w:pPr>
          </w:p>
        </w:tc>
        <w:tc>
          <w:tcPr>
            <w:tcW w:w="735" w:type="dxa"/>
            <w:vMerge w:val="continue"/>
            <w:vAlign w:val="center"/>
          </w:tcPr>
          <w:p>
            <w:pPr>
              <w:jc w:val="center"/>
            </w:pPr>
          </w:p>
        </w:tc>
        <w:tc>
          <w:tcPr>
            <w:tcW w:w="525" w:type="dxa"/>
            <w:vMerge w:val="continue"/>
            <w:vAlign w:val="center"/>
          </w:tcPr>
          <w:p>
            <w:pPr>
              <w:jc w:val="center"/>
            </w:pPr>
          </w:p>
        </w:tc>
        <w:tc>
          <w:tcPr>
            <w:tcW w:w="495" w:type="dxa"/>
            <w:vMerge w:val="continue"/>
            <w:vAlign w:val="center"/>
          </w:tcPr>
          <w:p>
            <w:pPr>
              <w:jc w:val="center"/>
            </w:pPr>
          </w:p>
        </w:tc>
        <w:tc>
          <w:tcPr>
            <w:tcW w:w="483" w:type="dxa"/>
            <w:vMerge w:val="continue"/>
            <w:vAlign w:val="center"/>
          </w:tcPr>
          <w:p>
            <w:pPr>
              <w:jc w:val="center"/>
            </w:pPr>
          </w:p>
        </w:tc>
        <w:tc>
          <w:tcPr>
            <w:tcW w:w="390" w:type="dxa"/>
            <w:vMerge w:val="restart"/>
            <w:vAlign w:val="center"/>
          </w:tcPr>
          <w:p>
            <w:pPr>
              <w:jc w:val="center"/>
              <w:rPr>
                <w:rFonts w:hint="eastAsia" w:ascii="仿宋" w:hAnsi="仿宋" w:eastAsia="仿宋" w:cs="仿宋"/>
                <w:lang w:eastAsia="zh-CN"/>
              </w:rPr>
            </w:pPr>
            <w:r>
              <w:rPr>
                <w:rFonts w:hint="eastAsia" w:ascii="仿宋" w:hAnsi="仿宋" w:eastAsia="仿宋" w:cs="仿宋"/>
                <w:lang w:eastAsia="zh-CN"/>
              </w:rPr>
              <w:t>其中</w:t>
            </w:r>
          </w:p>
        </w:tc>
        <w:tc>
          <w:tcPr>
            <w:tcW w:w="1635" w:type="dxa"/>
            <w:vAlign w:val="center"/>
          </w:tcPr>
          <w:p>
            <w:pPr>
              <w:jc w:val="center"/>
              <w:rPr>
                <w:rFonts w:hint="eastAsia" w:ascii="仿宋" w:hAnsi="仿宋" w:eastAsia="仿宋" w:cs="仿宋"/>
              </w:rPr>
            </w:pPr>
            <w:r>
              <w:rPr>
                <w:rFonts w:hint="eastAsia" w:ascii="仿宋" w:hAnsi="仿宋" w:eastAsia="仿宋" w:cs="仿宋"/>
                <w:lang w:eastAsia="zh-CN"/>
              </w:rPr>
              <w:t>商业建筑面积≤10%</w:t>
            </w:r>
          </w:p>
        </w:tc>
        <w:tc>
          <w:tcPr>
            <w:tcW w:w="855" w:type="dxa"/>
            <w:vMerge w:val="continue"/>
            <w:vAlign w:val="center"/>
          </w:tcPr>
          <w:p>
            <w:pPr>
              <w:jc w:val="center"/>
            </w:pPr>
          </w:p>
        </w:tc>
        <w:tc>
          <w:tcPr>
            <w:tcW w:w="810" w:type="dxa"/>
            <w:vMerge w:val="continue"/>
            <w:vAlign w:val="center"/>
          </w:tcPr>
          <w:p>
            <w:pPr>
              <w:jc w:val="center"/>
            </w:pPr>
          </w:p>
        </w:tc>
        <w:tc>
          <w:tcPr>
            <w:tcW w:w="79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jc w:val="center"/>
        </w:trPr>
        <w:tc>
          <w:tcPr>
            <w:tcW w:w="783" w:type="dxa"/>
            <w:vMerge w:val="continue"/>
            <w:tcMar>
              <w:left w:w="0" w:type="dxa"/>
              <w:right w:w="0" w:type="dxa"/>
            </w:tcMar>
            <w:vAlign w:val="center"/>
          </w:tcPr>
          <w:p>
            <w:pPr>
              <w:jc w:val="center"/>
            </w:pPr>
          </w:p>
        </w:tc>
        <w:tc>
          <w:tcPr>
            <w:tcW w:w="810" w:type="dxa"/>
            <w:vMerge w:val="continue"/>
            <w:vAlign w:val="center"/>
          </w:tcPr>
          <w:p>
            <w:pPr>
              <w:jc w:val="center"/>
            </w:pPr>
          </w:p>
        </w:tc>
        <w:tc>
          <w:tcPr>
            <w:tcW w:w="735" w:type="dxa"/>
            <w:vMerge w:val="continue"/>
            <w:vAlign w:val="center"/>
          </w:tcPr>
          <w:p>
            <w:pPr>
              <w:jc w:val="center"/>
            </w:pPr>
          </w:p>
        </w:tc>
        <w:tc>
          <w:tcPr>
            <w:tcW w:w="690" w:type="dxa"/>
            <w:vMerge w:val="continue"/>
            <w:tcMar>
              <w:left w:w="0" w:type="dxa"/>
              <w:right w:w="0" w:type="dxa"/>
            </w:tcMar>
            <w:vAlign w:val="center"/>
          </w:tcPr>
          <w:p>
            <w:pPr>
              <w:jc w:val="center"/>
            </w:pPr>
          </w:p>
        </w:tc>
        <w:tc>
          <w:tcPr>
            <w:tcW w:w="735" w:type="dxa"/>
            <w:vMerge w:val="continue"/>
            <w:tcMar>
              <w:left w:w="0" w:type="dxa"/>
              <w:right w:w="0" w:type="dxa"/>
            </w:tcMar>
            <w:vAlign w:val="center"/>
          </w:tcPr>
          <w:p>
            <w:pPr>
              <w:jc w:val="center"/>
            </w:pPr>
          </w:p>
        </w:tc>
        <w:tc>
          <w:tcPr>
            <w:tcW w:w="735" w:type="dxa"/>
            <w:vMerge w:val="continue"/>
            <w:vAlign w:val="center"/>
          </w:tcPr>
          <w:p>
            <w:pPr>
              <w:jc w:val="center"/>
            </w:pPr>
          </w:p>
        </w:tc>
        <w:tc>
          <w:tcPr>
            <w:tcW w:w="525" w:type="dxa"/>
            <w:vMerge w:val="continue"/>
            <w:vAlign w:val="center"/>
          </w:tcPr>
          <w:p>
            <w:pPr>
              <w:jc w:val="center"/>
            </w:pPr>
          </w:p>
        </w:tc>
        <w:tc>
          <w:tcPr>
            <w:tcW w:w="495" w:type="dxa"/>
            <w:vMerge w:val="continue"/>
            <w:vAlign w:val="center"/>
          </w:tcPr>
          <w:p>
            <w:pPr>
              <w:jc w:val="center"/>
            </w:pPr>
          </w:p>
        </w:tc>
        <w:tc>
          <w:tcPr>
            <w:tcW w:w="483" w:type="dxa"/>
            <w:vMerge w:val="continue"/>
            <w:vAlign w:val="center"/>
          </w:tcPr>
          <w:p>
            <w:pPr>
              <w:jc w:val="center"/>
            </w:pPr>
          </w:p>
        </w:tc>
        <w:tc>
          <w:tcPr>
            <w:tcW w:w="390" w:type="dxa"/>
            <w:vMerge w:val="continue"/>
            <w:vAlign w:val="center"/>
          </w:tcPr>
          <w:p>
            <w:pPr>
              <w:jc w:val="center"/>
              <w:rPr>
                <w:rFonts w:hint="eastAsia" w:ascii="仿宋" w:hAnsi="仿宋" w:eastAsia="仿宋" w:cs="仿宋"/>
              </w:rPr>
            </w:pPr>
          </w:p>
        </w:tc>
        <w:tc>
          <w:tcPr>
            <w:tcW w:w="1635" w:type="dxa"/>
            <w:vAlign w:val="center"/>
          </w:tcPr>
          <w:p>
            <w:pPr>
              <w:jc w:val="center"/>
              <w:rPr>
                <w:rFonts w:hint="eastAsia" w:ascii="仿宋" w:hAnsi="仿宋" w:eastAsia="仿宋" w:cs="仿宋"/>
                <w:lang w:val="en-US" w:eastAsia="zh-CN"/>
              </w:rPr>
            </w:pPr>
            <w:r>
              <w:rPr>
                <w:rFonts w:hint="eastAsia" w:ascii="仿宋" w:hAnsi="仿宋" w:eastAsia="仿宋" w:cs="仿宋"/>
                <w:lang w:eastAsia="zh-CN"/>
              </w:rPr>
              <w:t>配套设施建筑面积＞4760㎡</w:t>
            </w:r>
          </w:p>
        </w:tc>
        <w:tc>
          <w:tcPr>
            <w:tcW w:w="855" w:type="dxa"/>
            <w:vMerge w:val="continue"/>
            <w:vAlign w:val="center"/>
          </w:tcPr>
          <w:p>
            <w:pPr>
              <w:jc w:val="center"/>
            </w:pPr>
          </w:p>
        </w:tc>
        <w:tc>
          <w:tcPr>
            <w:tcW w:w="810" w:type="dxa"/>
            <w:vMerge w:val="continue"/>
            <w:vAlign w:val="center"/>
          </w:tcPr>
          <w:p>
            <w:pPr>
              <w:jc w:val="center"/>
            </w:pPr>
          </w:p>
        </w:tc>
        <w:tc>
          <w:tcPr>
            <w:tcW w:w="795" w:type="dxa"/>
            <w:vMerge w:val="continue"/>
            <w:vAlign w:val="center"/>
          </w:tcPr>
          <w:p>
            <w:pPr>
              <w:jc w:val="center"/>
            </w:pPr>
          </w:p>
        </w:tc>
      </w:tr>
    </w:tbl>
    <w:p>
      <w:pPr>
        <w:tabs>
          <w:tab w:val="left" w:pos="11340"/>
        </w:tabs>
        <w:spacing w:line="600" w:lineRule="exact"/>
        <w:rPr>
          <w:rFonts w:hint="eastAsia" w:ascii="仿宋_GB2312" w:eastAsia="仿宋_GB2312"/>
          <w:sz w:val="32"/>
          <w:szCs w:val="32"/>
        </w:rPr>
      </w:pPr>
    </w:p>
    <w:p>
      <w:pPr>
        <w:ind w:firstLine="150" w:firstLineChars="50"/>
        <w:jc w:val="right"/>
        <w:rPr>
          <w:rFonts w:ascii="仿宋_GB2312" w:hAnsi="楷体" w:eastAsia="仿宋_GB2312"/>
          <w:sz w:val="30"/>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0373E"/>
    <w:rsid w:val="0190373E"/>
    <w:rsid w:val="047409F6"/>
    <w:rsid w:val="1FDC534D"/>
    <w:rsid w:val="23E11D30"/>
    <w:rsid w:val="256165A3"/>
    <w:rsid w:val="40DE64AF"/>
    <w:rsid w:val="49353869"/>
    <w:rsid w:val="564428A4"/>
    <w:rsid w:val="5AEE0FF9"/>
    <w:rsid w:val="674D5649"/>
    <w:rsid w:val="6E2A4525"/>
    <w:rsid w:val="7D6B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kern w:val="0"/>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2020-04-30T07:36:00Z</dcterms:created>
  <dc:creator>黄春枚</dc:creator>
  <cp:lastModifiedBy>黄春枚</cp:lastModifiedBy>
  <dcterms:modified xsi:type="dcterms:W3CDTF">2020-04-30T09:06:28Z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