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hAnsi="华文中宋" w:eastAsia="方正小标宋_GBK"/>
          <w:b/>
          <w:bCs/>
          <w:spacing w:val="3"/>
          <w:sz w:val="44"/>
          <w:szCs w:val="44"/>
        </w:rPr>
      </w:pPr>
    </w:p>
    <w:p>
      <w:pPr>
        <w:tabs>
          <w:tab w:val="left" w:pos="11340"/>
        </w:tabs>
        <w:spacing w:line="520" w:lineRule="exact"/>
        <w:rPr>
          <w:rFonts w:hint="eastAsia" w:ascii="方正小标宋_GBK" w:eastAsia="方正小标宋_GBK"/>
          <w:b/>
          <w:bCs/>
          <w:spacing w:val="3"/>
          <w:sz w:val="48"/>
        </w:rPr>
      </w:pPr>
      <w:r>
        <w:rPr>
          <w:rFonts w:hint="eastAsia" w:ascii="方正小标宋_GBK" w:hAnsi="华文中宋" w:eastAsia="方正小标宋_GBK"/>
          <w:b/>
          <w:bCs/>
          <w:spacing w:val="3"/>
          <w:sz w:val="44"/>
          <w:szCs w:val="44"/>
        </w:rPr>
        <w:t>惠州市国有建设用地使用权网上挂牌</w:t>
      </w:r>
      <w:r>
        <w:rPr>
          <w:rFonts w:hint="eastAsia" w:ascii="方正小标宋_GBK" w:hAnsi="华文中宋" w:eastAsia="方正小标宋_GBK"/>
          <w:b/>
          <w:bCs/>
          <w:sz w:val="44"/>
          <w:szCs w:val="44"/>
        </w:rPr>
        <w:t>出让公告</w:t>
      </w:r>
    </w:p>
    <w:p>
      <w:pPr>
        <w:spacing w:line="520" w:lineRule="exact"/>
        <w:ind w:firstLine="640" w:firstLineChars="200"/>
        <w:jc w:val="center"/>
        <w:rPr>
          <w:rFonts w:hint="eastAsia" w:ascii="仿宋_GB2312" w:eastAsia="仿宋_GB2312"/>
          <w:sz w:val="32"/>
          <w:szCs w:val="32"/>
        </w:rPr>
      </w:pPr>
      <w:r>
        <w:rPr>
          <w:rFonts w:hint="eastAsia" w:ascii="仿宋_GB2312" w:eastAsia="仿宋_GB2312"/>
          <w:sz w:val="32"/>
          <w:szCs w:val="32"/>
        </w:rPr>
        <w:t>惠公易土市直[20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040</w:t>
      </w:r>
      <w:r>
        <w:rPr>
          <w:rFonts w:hint="eastAsia" w:ascii="仿宋_GB2312" w:eastAsia="仿宋_GB2312"/>
          <w:sz w:val="32"/>
          <w:szCs w:val="32"/>
        </w:rPr>
        <w:t>号</w:t>
      </w:r>
    </w:p>
    <w:p>
      <w:pPr>
        <w:spacing w:line="52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根据国土资源部令第39号《招标拍卖挂牌出让国有建设用地使用权规定》和广东省人民政府令第79号《广东省土地使用权交易市场管理规定》的规定，经惠州市人民政府批准，惠州市</w:t>
      </w:r>
      <w:r>
        <w:rPr>
          <w:rFonts w:hint="eastAsia" w:ascii="仿宋_GB2312" w:hAnsi="仿宋_GB2312" w:eastAsia="仿宋_GB2312" w:cs="仿宋_GB2312"/>
          <w:sz w:val="32"/>
          <w:szCs w:val="32"/>
          <w:lang w:val="en-US" w:eastAsia="zh-CN"/>
        </w:rPr>
        <w:t>惠城区</w:t>
      </w:r>
      <w:r>
        <w:rPr>
          <w:rFonts w:hint="eastAsia" w:ascii="仿宋_GB2312" w:hAnsi="仿宋_GB2312" w:eastAsia="仿宋_GB2312" w:cs="仿宋_GB2312"/>
          <w:sz w:val="32"/>
          <w:szCs w:val="32"/>
        </w:rPr>
        <w:t>自然资源局决定以网上挂牌方式出让下列一宗国有建设用地使用权，本次国有建设用地使用权网上挂牌出让交易具体事务委托惠州市公共资源交易中心办理。现将有关事项公告如下：</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一、网上挂牌出让地块基本情况及规划指标要求（见附表）</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二、网上挂牌竞买时间为20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三、挂牌起始价为人民币</w:t>
      </w:r>
      <w:r>
        <w:rPr>
          <w:rFonts w:hint="eastAsia" w:ascii="仿宋_GB2312" w:hAnsi="仿宋" w:eastAsia="仿宋_GB2312"/>
          <w:sz w:val="32"/>
          <w:szCs w:val="32"/>
          <w:lang w:val="en-US" w:eastAsia="zh-CN"/>
        </w:rPr>
        <w:t>24610</w:t>
      </w:r>
      <w:r>
        <w:rPr>
          <w:rFonts w:hint="eastAsia" w:ascii="仿宋_GB2312" w:hAnsi="仿宋_GB2312" w:eastAsia="仿宋_GB2312" w:cs="仿宋_GB2312"/>
          <w:sz w:val="32"/>
          <w:szCs w:val="32"/>
        </w:rPr>
        <w:t>万元,每次报价加价幅度为人民币</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万元的整数倍。</w:t>
      </w:r>
    </w:p>
    <w:p>
      <w:pPr>
        <w:keepNext w:val="0"/>
        <w:keepLines w:val="0"/>
        <w:pageBreakBefore w:val="0"/>
        <w:widowControl w:val="0"/>
        <w:kinsoku/>
        <w:wordWrap/>
        <w:overflowPunct/>
        <w:topLinePunct w:val="0"/>
        <w:autoSpaceDE/>
        <w:autoSpaceDN/>
        <w:bidi w:val="0"/>
        <w:spacing w:line="560" w:lineRule="exact"/>
        <w:ind w:firstLine="720" w:firstLineChars="22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四、中华人民共和国境内外的法人和其他组织（除法律法规另有规定外）均可申请参加竞买。申请人可以单独申请，也可以联合申请：</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int="eastAsia" w:hAnsi="仿宋_GB2312" w:cs="仿宋_GB2312"/>
          <w:szCs w:val="32"/>
        </w:rPr>
      </w:pPr>
      <w:r>
        <w:rPr>
          <w:rFonts w:hint="eastAsia" w:hAnsi="仿宋_GB2312" w:cs="仿宋_GB2312"/>
          <w:szCs w:val="32"/>
        </w:rPr>
        <w:t>（一）单独申请竞买的，竞买申请人为非本市注册登记的企业，在竞得土地后，必须于2个月内在本市工商行政管理部门注册成立项目开发公司，并以该公司名义办理土地出让与登记发证手续。新成立公司必须是竞得人的全资子公司</w:t>
      </w:r>
      <w:r>
        <w:rPr>
          <w:rFonts w:hint="eastAsia" w:ascii="Times New Roman" w:hAnsi="Times New Roman"/>
          <w:lang w:val="en-US" w:eastAsia="zh-CN"/>
        </w:rPr>
        <w:t>（即竞得人必须是新公司的唯一股东）</w:t>
      </w:r>
      <w:r>
        <w:rPr>
          <w:rFonts w:hint="default" w:ascii="Times New Roman" w:hAnsi="Times New Roman"/>
          <w:lang w:val="en-US" w:eastAsia="zh-CN"/>
        </w:rPr>
        <w:t>。</w:t>
      </w:r>
      <w:r>
        <w:rPr>
          <w:rFonts w:hint="eastAsia" w:hAnsi="仿宋_GB2312" w:cs="仿宋_GB2312"/>
          <w:szCs w:val="32"/>
        </w:rPr>
        <w:t>根据挂牌出让结果，可先与竞得人签订《出让合同》，在竞得人按约定办理完新公司注册登记手续后，再与新公司签订《国有建设用地使用权出让合同变更协议》；也可按约定直接与新公司签订《出让合同》。</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二）联合申请竞买的，联合竞买人在提交竞买申请材料时，须提交一份联合竞买申请书和协议，协议主要规定联合各方的权利和义务、参与竞买的代表人、联合各方的出资比例等。联合竞买申请人竞得土地后须于2个月内在本市工商行政管理部门按照申请书申报的出资人及出资比例设立新公司。根据挂牌出让结果，可先与竞得人签订《出让合同》，在竞得人按约定办理完新公司注册登记手续后，再与新公司签订《国有建设用地使用权出让合同变更协议》；也可按约定直接与新公司签订《出让合同》。并以新公司名义办理土地登记发证手续，不能按联合申请人各自出资比例分割办证。如对联合竞买申请人的开发资质条件有明确要求的，在审查联合竞买申请人资质时，以联合体内资质最低一方的资质确定竞买资格条件。</w:t>
      </w:r>
    </w:p>
    <w:p>
      <w:pPr>
        <w:pStyle w:val="3"/>
        <w:keepNext w:val="0"/>
        <w:keepLines w:val="0"/>
        <w:pageBreakBefore w:val="0"/>
        <w:widowControl w:val="0"/>
        <w:kinsoku/>
        <w:wordWrap/>
        <w:overflowPunct/>
        <w:topLinePunct w:val="0"/>
        <w:autoSpaceDE/>
        <w:autoSpaceDN/>
        <w:bidi w:val="0"/>
        <w:spacing w:before="0" w:line="560" w:lineRule="exact"/>
        <w:jc w:val="both"/>
        <w:textAlignment w:val="auto"/>
        <w:rPr>
          <w:rFonts w:hAnsi="仿宋_GB2312" w:cs="仿宋_GB2312"/>
          <w:szCs w:val="32"/>
        </w:rPr>
      </w:pPr>
      <w:r>
        <w:rPr>
          <w:rFonts w:hint="eastAsia" w:hAnsi="仿宋_GB2312" w:cs="仿宋_GB2312"/>
          <w:szCs w:val="32"/>
          <w:lang w:val="en-US" w:eastAsia="zh-CN"/>
        </w:rPr>
        <w:t>五</w:t>
      </w:r>
      <w:r>
        <w:rPr>
          <w:rFonts w:hint="eastAsia" w:hAnsi="仿宋_GB2312" w:cs="仿宋_GB2312"/>
          <w:szCs w:val="32"/>
        </w:rPr>
        <w:t>、申请人应具备的其他条件：</w:t>
      </w:r>
    </w:p>
    <w:p>
      <w:pPr>
        <w:pStyle w:val="3"/>
        <w:keepNext w:val="0"/>
        <w:keepLines w:val="0"/>
        <w:pageBreakBefore w:val="0"/>
        <w:widowControl w:val="0"/>
        <w:kinsoku/>
        <w:wordWrap/>
        <w:overflowPunct/>
        <w:topLinePunct w:val="0"/>
        <w:autoSpaceDE/>
        <w:autoSpaceDN/>
        <w:bidi w:val="0"/>
        <w:spacing w:line="560" w:lineRule="exact"/>
        <w:jc w:val="both"/>
        <w:textAlignment w:val="auto"/>
        <w:rPr>
          <w:rFonts w:hint="eastAsia" w:hAnsi="仿宋_GB2312" w:cs="仿宋_GB2312"/>
          <w:szCs w:val="32"/>
        </w:rPr>
      </w:pPr>
      <w:r>
        <w:rPr>
          <w:rFonts w:hint="eastAsia" w:hAnsi="仿宋_GB2312" w:cs="仿宋_GB2312"/>
          <w:szCs w:val="32"/>
        </w:rPr>
        <w:t>（一）缴交竞买保证金</w:t>
      </w:r>
      <w:r>
        <w:rPr>
          <w:rFonts w:hint="eastAsia" w:hAnsi="仿宋"/>
          <w:kern w:val="2"/>
          <w:szCs w:val="32"/>
          <w:lang w:val="en-US" w:eastAsia="zh-CN"/>
        </w:rPr>
        <w:t>7383</w:t>
      </w:r>
      <w:r>
        <w:rPr>
          <w:rFonts w:hint="eastAsia" w:hAnsi="仿宋_GB2312" w:cs="仿宋_GB2312"/>
          <w:szCs w:val="32"/>
        </w:rPr>
        <w:t>万元人民币。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（二）竞得人在用地红线内开发建设必须符合城市规划要求，必须按上述建设方案的要求进行规划设计。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（三）存在下列违法违规违约行为之一的企业及其控股股东，不得参与竞买上述地块：</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1.因企业原因造成土地闲置一年以上的单位不得参与竞买上述地块。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存在伪造公文骗取用地和非法倒卖土地等犯罪行为的单位不得参与竞买上述地块。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存在非法转让土地使用权等违法行为的单位不得参与竞买上述地块。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开发建设企业违背出让合同约定条件开发利用土地的单位不得参与竞买上述地块。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拖欠政府地价款的单位不得参与竞买上述地块。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、本次国有建设用地使用权网上挂牌出让为无底价挂牌出让，按照价高者得的原则确定竞得人。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、本次网上挂牌出让的详细资料和具体要求，见惠州市公共资源交易中心土地与矿业网上挂牌交易系统（</w:t>
      </w:r>
      <w:r>
        <w:rPr>
          <w:rFonts w:hint="eastAsia" w:ascii="仿宋_GB2312" w:hAnsi="仿宋_GB2312" w:eastAsia="仿宋_GB2312" w:cs="仿宋_GB2312"/>
          <w:sz w:val="32"/>
          <w:szCs w:val="32"/>
          <w:lang w:val="en-US" w:eastAsia="zh-CN"/>
        </w:rPr>
        <w:t>https://www.hzgtjy.com/</w:t>
      </w:r>
      <w:r>
        <w:rPr>
          <w:rFonts w:hint="eastAsia" w:ascii="仿宋_GB2312" w:hAnsi="仿宋_GB2312" w:eastAsia="仿宋_GB2312" w:cs="仿宋_GB2312"/>
          <w:sz w:val="32"/>
          <w:szCs w:val="32"/>
        </w:rPr>
        <w:t>）。申请人可在网上挂牌交易系统下载挂牌出让公告、须知及相关交易文件，并按上述文件规定的操作程序在网上参加竞买。</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、有意竞买者可以自行到地块现场踏勘（可在网上挂牌交易系统查阅位置图和现状图）。</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、申请人应当在网上挂牌出让结束前登陆惠州市公共资源交易中心土地与矿业网上挂牌交易系统并在系统上向惠州市公共资源交易中心提交竞买申请并支付保证金。网上挂牌保证金到账截止时间为20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时止。网上挂牌报价时间截止时，经系统询问，有竞买人表示愿意继续竞价的，系统自动进入网上限时竞价程序，通过竞价确定竞得人。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本次国有建设用地使用权网上挂牌出让只接受网上竞买申请，即通过惠州市公共资源交易中心土地与矿业网上挂牌交易系统进行，不接受电话、邮寄、书面、电子邮件及口头竞买。凡办理数字证书、按要求足额交纳竞买保证金的申请人，方可参加网上挂牌交易活动。</w:t>
      </w:r>
    </w:p>
    <w:p>
      <w:pPr>
        <w:keepNext w:val="0"/>
        <w:keepLines w:val="0"/>
        <w:pageBreakBefore w:val="0"/>
        <w:widowControl w:val="0"/>
        <w:kinsoku/>
        <w:wordWrap/>
        <w:overflowPunct/>
        <w:topLinePunct w:val="0"/>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、竞得人签订《成交确认书》后，缴交的保证金中按成交价的</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%转作定金，竞得人签订《出让合同》后，定金转作土地出让价款。</w:t>
      </w:r>
    </w:p>
    <w:p>
      <w:pPr>
        <w:keepNext w:val="0"/>
        <w:keepLines w:val="0"/>
        <w:pageBreakBefore w:val="0"/>
        <w:widowControl w:val="0"/>
        <w:kinsoku/>
        <w:wordWrap/>
        <w:overflowPunct/>
        <w:topLinePunct w:val="0"/>
        <w:autoSpaceDN/>
        <w:bidi w:val="0"/>
        <w:spacing w:line="560" w:lineRule="exact"/>
        <w:ind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保证金少于成交价20%的，不足部分由竞得人在签订《成交确认书》之日起5个工作日内付清。</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、其它需要公告的事项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（一）开发投资总额不少于</w:t>
      </w:r>
      <w:r>
        <w:rPr>
          <w:rFonts w:hint="eastAsia" w:ascii="仿宋_GB2312" w:hAnsi="仿宋" w:eastAsia="仿宋_GB2312"/>
          <w:sz w:val="32"/>
          <w:szCs w:val="32"/>
          <w:lang w:val="en-US" w:eastAsia="zh-CN"/>
        </w:rPr>
        <w:t>30</w:t>
      </w:r>
      <w:r>
        <w:rPr>
          <w:rFonts w:hint="eastAsia" w:ascii="仿宋_GB2312" w:hAnsi="仿宋_GB2312" w:eastAsia="仿宋_GB2312" w:cs="仿宋_GB2312"/>
          <w:sz w:val="32"/>
          <w:szCs w:val="32"/>
          <w:lang w:val="en-US" w:eastAsia="zh-CN"/>
        </w:rPr>
        <w:t>亿</w:t>
      </w:r>
      <w:r>
        <w:rPr>
          <w:rFonts w:hint="eastAsia" w:ascii="仿宋_GB2312" w:hAnsi="仿宋_GB2312" w:eastAsia="仿宋_GB2312" w:cs="仿宋_GB2312"/>
          <w:sz w:val="32"/>
          <w:szCs w:val="32"/>
        </w:rPr>
        <w:t>元（含地价）。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（二）土地成交价款须以人民币支付,竞得人</w:t>
      </w:r>
      <w:r>
        <w:rPr>
          <w:rFonts w:ascii="仿宋_GB2312" w:hAnsi="仿宋_GB2312" w:eastAsia="仿宋_GB2312" w:cs="仿宋_GB2312"/>
          <w:sz w:val="32"/>
          <w:szCs w:val="32"/>
        </w:rPr>
        <w:t>在签订</w:t>
      </w:r>
      <w:r>
        <w:rPr>
          <w:rFonts w:hint="eastAsia" w:ascii="仿宋_GB2312" w:hAnsi="仿宋_GB2312" w:eastAsia="仿宋_GB2312" w:cs="仿宋_GB2312"/>
          <w:sz w:val="32"/>
          <w:szCs w:val="32"/>
        </w:rPr>
        <w:t>《出让合同》之日起30日</w:t>
      </w:r>
      <w:r>
        <w:rPr>
          <w:rFonts w:ascii="仿宋_GB2312" w:hAnsi="仿宋_GB2312" w:eastAsia="仿宋_GB2312" w:cs="仿宋_GB2312"/>
          <w:sz w:val="32"/>
          <w:szCs w:val="32"/>
        </w:rPr>
        <w:t>内付清全部成交</w:t>
      </w:r>
      <w:r>
        <w:rPr>
          <w:rFonts w:hint="eastAsia" w:ascii="仿宋_GB2312" w:hAnsi="仿宋_GB2312" w:eastAsia="仿宋_GB2312" w:cs="仿宋_GB2312"/>
          <w:sz w:val="32"/>
          <w:szCs w:val="32"/>
        </w:rPr>
        <w:t>价款。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（三）竞买人须提交惠城区发改局出具的与该宗地块规划确定的产业类型一致的优先发展产业项目文件。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）该地权利清晰，安置补偿落实到位，没有法律经济纠纷，具备动工开发所必须的基本条件。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项目规划建设方案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报方案的主要技术经济指标：JD-106-03地块计算指标用地面积65365平方米，计容积率建筑面积198204.76平方米，容积率3.0，基底面积23393.7平方米，建筑密度35.8％，绿地率17.3％，机动车停车位571个（地面161个，地下410个）；JD-112-02地块计算指标用地面积65856平方米，计容积率建筑面积204900.22平方米，容积率3.1，基底面积24901.07平方米，建筑密度37.8％，绿地率15.9％，机动车停车位627个（地面82个，地下545个）；JD-112-04地块计算指标用地面积44298平方米，计容积率建筑面积140977.84平方米，容积率3.2，基底面积15696.92平方米，建筑密度35.4％，绿地率20％，机动车停车位378个（地面20个，地下358个）；JD-117-14地块计算指标用地面积76103平方米，计容积率建筑面积228369.72平方米，容积率3.0，基底面积23799.82平方米，建筑密度31.3％，绿地率19.4％，机动车停车位764个（地面152个，地下612个）。所报方案符合《建设用地规划设计条件》（案卷编号：PB20200115号）相关技术经济指标要求，同意所报总平面图和单体建筑设计方案，须按程序进行公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2、建设项目平面布置图详见附件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招商条件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投资规模不低于30亿元，投资强度不低于1.2亿元/公顷，土地产出率（营业收入）不低于2.25亿元/公顷/年，税收产出不低于0.12亿元/公顷/年。其中，土地产出率及税收产出，在项目投产后3年内逐年考核，3年内的平均值不得低于上述标准。在签订《国有建设用地交地确认书》5年内不得转让土地使用权（包含但不限于公司股权转让），非因企业破产不得终止项目建设及运营。若因企业经营不善等原因，乙方确定需要转让该宗地使用权时，受让人使用该地块建设经营的项目，须经惠城区人民政府审批同意，并符合惠城区产业发展方向及项目入区审核标准。本宗地交付乙方后,乙方须向惠城区高新科技产业园管委会提交项目投资计划书和时间安排表，并按月向惠城区高新科技产业园管委会书面报告项目进展情况，直至项目投产。</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竞得人在签订《成交确认书》前，须与惠城区高新科技产业园管委会签订《惠城区工业项目土地建设和使用监管协议书》，并由惠城区高新科技产业园管委会对项目用地实施批后监管。</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竞得人有下列行为之一的，视为违约，取消竞得人资格，没收保证金,并由有关部门依法处理;造成损失的，竞得人还应依法承担赔偿责任：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1、不符合竞买资格条件的；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2、采取行贿、恶意串通等非法手段竞得的；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3、竞得人以其他非法手段竞得的；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4、竞得人逾期或拒绝签订《成交确认书》的；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5、竞得人逾期或拒绝签订《出让合同》的；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6、不按本须知规定提供有关纸质文件材料，或提供虚假文件材料、隐瞒重要事实，引起交易纠纷的；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7、构成违约责任的其他行为。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）挂牌出让价款不含应由竞得人缴纳的契税、印花税等有关费用。</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、该宗地使用网上挂牌方式出让，交易全程适用《惠州市国有建设用地使用权和矿业权电子挂牌交易规则》（惠府〔</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167号）。</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（一）惠州市</w:t>
      </w:r>
      <w:r>
        <w:rPr>
          <w:rFonts w:hint="eastAsia" w:ascii="仿宋_GB2312" w:hAnsi="仿宋_GB2312" w:eastAsia="仿宋_GB2312" w:cs="仿宋_GB2312"/>
          <w:sz w:val="32"/>
          <w:szCs w:val="32"/>
          <w:lang w:val="en-US" w:eastAsia="zh-CN"/>
        </w:rPr>
        <w:t>惠城区</w:t>
      </w:r>
      <w:r>
        <w:rPr>
          <w:rFonts w:hint="eastAsia" w:ascii="仿宋_GB2312" w:hAnsi="仿宋_GB2312" w:eastAsia="仿宋_GB2312" w:cs="仿宋_GB2312"/>
          <w:sz w:val="32"/>
          <w:szCs w:val="32"/>
        </w:rPr>
        <w:t>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地址：惠州市</w:t>
      </w:r>
      <w:r>
        <w:rPr>
          <w:rFonts w:hint="eastAsia" w:ascii="仿宋_GB2312" w:hAnsi="仿宋_GB2312" w:eastAsia="仿宋_GB2312" w:cs="仿宋_GB2312"/>
          <w:sz w:val="32"/>
          <w:szCs w:val="32"/>
          <w:lang w:val="en-US" w:eastAsia="zh-CN"/>
        </w:rPr>
        <w:t>埔路16号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陈镇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2117378</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惠州市公共资源交易中心土地矿业交易部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联系地址：广东省惠州市江北文华一路2号大隆大厦6楼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联系人：袁小姐、黄小姐</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联系电话：（0752）</w:t>
      </w:r>
      <w:r>
        <w:rPr>
          <w:rFonts w:hint="eastAsia" w:ascii="仿宋_GB2312" w:hAnsi="仿宋_GB2312" w:eastAsia="仿宋_GB2312" w:cs="仿宋_GB2312"/>
          <w:sz w:val="32"/>
          <w:szCs w:val="32"/>
          <w:lang w:val="en-US" w:eastAsia="zh-CN"/>
        </w:rPr>
        <w:t>7121026、7121042</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注：本公告同时在下列网站及场所发布</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中国土地市场网: http://www.landchina.com</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广东省土地市场网：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"http://www.landgd.com"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http://www.landgd.com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惠州市自然资源局网站：http://land.huizhou.gov.cn</w:t>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"http://zyjy.huizhou.gov.cn"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http://zyjy.huizhou.gov.cn</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spacing w:line="560" w:lineRule="exact"/>
        <w:ind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惠州市公共资源交易中心交易大厅现场。</w:t>
      </w:r>
    </w:p>
    <w:p>
      <w:pPr>
        <w:keepNext w:val="0"/>
        <w:keepLines w:val="0"/>
        <w:pageBreakBefore w:val="0"/>
        <w:widowControl w:val="0"/>
        <w:kinsoku/>
        <w:wordWrap/>
        <w:overflowPunct/>
        <w:topLinePunct w:val="0"/>
        <w:autoSpaceDE/>
        <w:autoSpaceDN/>
        <w:bidi w:val="0"/>
        <w:spacing w:line="560" w:lineRule="exact"/>
        <w:ind w:firstLine="555"/>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惠州日报。</w:t>
      </w:r>
    </w:p>
    <w:p>
      <w:pPr>
        <w:keepNext w:val="0"/>
        <w:keepLines w:val="0"/>
        <w:pageBreakBefore w:val="0"/>
        <w:widowControl w:val="0"/>
        <w:kinsoku/>
        <w:wordWrap/>
        <w:overflowPunct/>
        <w:topLinePunct w:val="0"/>
        <w:autoSpaceDE/>
        <w:autoSpaceDN/>
        <w:bidi w:val="0"/>
        <w:spacing w:line="560" w:lineRule="exact"/>
        <w:ind w:left="487" w:leftChars="232"/>
        <w:textAlignment w:val="auto"/>
        <w:rPr>
          <w:rFonts w:ascii="宋体" w:hAnsi="宋体" w:cs="宋体"/>
          <w:color w:val="696969"/>
          <w:sz w:val="32"/>
          <w:szCs w:val="32"/>
        </w:rPr>
      </w:pPr>
      <w:r>
        <w:rPr>
          <w:rFonts w:hint="eastAsia" w:ascii="仿宋_GB2312" w:hAnsi="仿宋_GB2312" w:eastAsia="仿宋_GB2312" w:cs="仿宋_GB2312"/>
          <w:sz w:val="32"/>
          <w:szCs w:val="32"/>
        </w:rPr>
        <w:t>数字证书办理地址：</w:t>
      </w:r>
      <w:r>
        <w:rPr>
          <w:rFonts w:hint="eastAsia" w:ascii="仿宋_GB2312" w:hAnsi="仿宋_GB2312" w:eastAsia="仿宋_GB2312" w:cs="仿宋_GB2312"/>
          <w:color w:val="000000"/>
          <w:sz w:val="32"/>
          <w:szCs w:val="32"/>
        </w:rPr>
        <w:t>惠州市江北云山西路二号帝景国际商务中心七层18-22房。</w:t>
      </w:r>
    </w:p>
    <w:p>
      <w:pPr>
        <w:keepNext w:val="0"/>
        <w:keepLines w:val="0"/>
        <w:pageBreakBefore w:val="0"/>
        <w:widowControl w:val="0"/>
        <w:kinsoku/>
        <w:wordWrap/>
        <w:overflowPunct/>
        <w:topLinePunct w:val="0"/>
        <w:autoSpaceDE/>
        <w:autoSpaceDN/>
        <w:bidi w:val="0"/>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联系电话：0752-2898481</w:t>
      </w:r>
    </w:p>
    <w:p>
      <w:pPr>
        <w:keepNext w:val="0"/>
        <w:keepLines w:val="0"/>
        <w:pageBreakBefore w:val="0"/>
        <w:widowControl w:val="0"/>
        <w:kinsoku/>
        <w:wordWrap/>
        <w:overflowPunct/>
        <w:topLinePunct w:val="0"/>
        <w:autoSpaceDE/>
        <w:autoSpaceDN/>
        <w:bidi w:val="0"/>
        <w:spacing w:line="560" w:lineRule="exact"/>
        <w:ind w:right="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right="640"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right="640"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惠州市</w:t>
      </w:r>
      <w:r>
        <w:rPr>
          <w:rFonts w:hint="eastAsia" w:ascii="仿宋_GB2312" w:hAnsi="仿宋_GB2312" w:eastAsia="仿宋_GB2312" w:cs="仿宋_GB2312"/>
          <w:sz w:val="32"/>
          <w:szCs w:val="32"/>
          <w:lang w:eastAsia="zh-CN"/>
        </w:rPr>
        <w:t>惠城区</w:t>
      </w:r>
      <w:r>
        <w:rPr>
          <w:rFonts w:hint="eastAsia" w:ascii="仿宋_GB2312" w:hAnsi="仿宋_GB2312" w:eastAsia="仿宋_GB2312" w:cs="仿宋_GB2312"/>
          <w:sz w:val="32"/>
          <w:szCs w:val="32"/>
        </w:rPr>
        <w:t>自然资源局</w:t>
      </w:r>
    </w:p>
    <w:p>
      <w:pPr>
        <w:spacing w:line="520" w:lineRule="exact"/>
        <w:ind w:right="640"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惠州市公共资源交易中</w:t>
      </w:r>
      <w:r>
        <w:rPr>
          <w:rFonts w:hint="eastAsia" w:ascii="仿宋_GB2312" w:hAnsi="仿宋_GB2312" w:eastAsia="仿宋_GB2312" w:cs="仿宋_GB2312"/>
          <w:sz w:val="32"/>
          <w:szCs w:val="32"/>
          <w:lang w:val="en-US" w:eastAsia="zh-CN"/>
        </w:rPr>
        <w:t>心</w:t>
      </w:r>
    </w:p>
    <w:p>
      <w:pPr>
        <w:spacing w:line="360" w:lineRule="auto"/>
        <w:ind w:firstLine="5120" w:firstLineChars="1600"/>
        <w:jc w:val="both"/>
        <w:rPr>
          <w:rFonts w:hint="default" w:ascii="仿宋_GB2312" w:hAnsi="仿宋_GB2312" w:eastAsia="仿宋_GB2312" w:cs="仿宋_GB2312"/>
          <w:sz w:val="32"/>
          <w:szCs w:val="32"/>
          <w:lang w:val="en-US" w:eastAsia="zh-CN"/>
        </w:rPr>
        <w:sectPr>
          <w:headerReference r:id="rId3" w:type="default"/>
          <w:footerReference r:id="rId4" w:type="default"/>
          <w:footerReference r:id="rId5" w:type="even"/>
          <w:pgSz w:w="11906" w:h="16838"/>
          <w:pgMar w:top="1440" w:right="1440" w:bottom="1440" w:left="144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2020年10月22日</w:t>
      </w:r>
    </w:p>
    <w:p>
      <w:pPr>
        <w:spacing w:line="360" w:lineRule="auto"/>
        <w:rPr>
          <w:rFonts w:hint="eastAsia" w:ascii="黑体" w:hAnsi="黑体" w:eastAsia="黑体"/>
          <w:sz w:val="32"/>
          <w:szCs w:val="32"/>
        </w:rPr>
      </w:pPr>
      <w:r>
        <w:rPr>
          <w:rFonts w:hint="eastAsia" w:ascii="黑体" w:hAnsi="黑体" w:eastAsia="黑体"/>
          <w:sz w:val="32"/>
          <w:szCs w:val="32"/>
        </w:rPr>
        <w:t>附表</w:t>
      </w:r>
    </w:p>
    <w:p>
      <w:pPr>
        <w:tabs>
          <w:tab w:val="left" w:pos="9720"/>
        </w:tabs>
        <w:spacing w:line="360" w:lineRule="auto"/>
        <w:jc w:val="center"/>
        <w:rPr>
          <w:rFonts w:hint="eastAsia" w:ascii="方正小标宋_GBK" w:eastAsia="方正小标宋_GBK"/>
          <w:b/>
          <w:sz w:val="36"/>
          <w:szCs w:val="36"/>
        </w:rPr>
      </w:pPr>
      <w:r>
        <w:rPr>
          <w:rFonts w:hint="eastAsia" w:ascii="方正小标宋_GBK" w:eastAsia="方正小标宋_GBK"/>
          <w:b/>
          <w:sz w:val="36"/>
          <w:szCs w:val="36"/>
        </w:rPr>
        <w:t>网上挂牌出让地块规划建设指标</w:t>
      </w:r>
    </w:p>
    <w:tbl>
      <w:tblPr>
        <w:tblStyle w:val="8"/>
        <w:tblW w:w="10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50"/>
        <w:gridCol w:w="750"/>
        <w:gridCol w:w="675"/>
        <w:gridCol w:w="774"/>
        <w:gridCol w:w="948"/>
        <w:gridCol w:w="720"/>
        <w:gridCol w:w="1233"/>
        <w:gridCol w:w="1605"/>
        <w:gridCol w:w="885"/>
        <w:gridCol w:w="857"/>
        <w:gridCol w:w="70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05"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挂牌地块编号</w:t>
            </w:r>
          </w:p>
        </w:tc>
        <w:tc>
          <w:tcPr>
            <w:tcW w:w="450"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土地</w:t>
            </w:r>
          </w:p>
          <w:p>
            <w:pPr>
              <w:spacing w:line="320" w:lineRule="exact"/>
              <w:jc w:val="center"/>
              <w:rPr>
                <w:rFonts w:hint="eastAsia" w:ascii="仿宋_GB2312" w:eastAsia="仿宋_GB2312"/>
                <w:b/>
                <w:bCs/>
                <w:szCs w:val="21"/>
              </w:rPr>
            </w:pPr>
            <w:r>
              <w:rPr>
                <w:rFonts w:hint="eastAsia" w:ascii="仿宋_GB2312" w:eastAsia="仿宋_GB2312"/>
                <w:b/>
                <w:bCs/>
                <w:szCs w:val="21"/>
              </w:rPr>
              <w:t>位置</w:t>
            </w:r>
          </w:p>
        </w:tc>
        <w:tc>
          <w:tcPr>
            <w:tcW w:w="750"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规划编号</w:t>
            </w:r>
          </w:p>
        </w:tc>
        <w:tc>
          <w:tcPr>
            <w:tcW w:w="675" w:type="dxa"/>
            <w:vMerge w:val="restart"/>
            <w:vAlign w:val="center"/>
          </w:tcPr>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土地</w:t>
            </w:r>
          </w:p>
          <w:p>
            <w:pPr>
              <w:adjustRightInd w:val="0"/>
              <w:snapToGrid w:val="0"/>
              <w:spacing w:line="320" w:lineRule="exact"/>
              <w:jc w:val="center"/>
              <w:rPr>
                <w:rFonts w:hint="eastAsia" w:ascii="仿宋_GB2312" w:eastAsia="仿宋_GB2312"/>
                <w:b/>
                <w:bCs/>
                <w:szCs w:val="21"/>
              </w:rPr>
            </w:pPr>
            <w:r>
              <w:rPr>
                <w:rFonts w:hint="eastAsia" w:ascii="仿宋_GB2312" w:eastAsia="仿宋_GB2312"/>
                <w:b/>
                <w:bCs/>
                <w:szCs w:val="21"/>
              </w:rPr>
              <w:t>用途</w:t>
            </w:r>
          </w:p>
        </w:tc>
        <w:tc>
          <w:tcPr>
            <w:tcW w:w="774" w:type="dxa"/>
            <w:vMerge w:val="restart"/>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宗地使用权面积（</w:t>
            </w:r>
            <w:r>
              <w:rPr>
                <w:rFonts w:hint="eastAsia" w:ascii="宋体" w:hAnsi="宋体" w:cs="宋体"/>
                <w:b/>
                <w:bCs/>
                <w:szCs w:val="21"/>
              </w:rPr>
              <w:t>㎡</w:t>
            </w:r>
            <w:r>
              <w:rPr>
                <w:rFonts w:hint="eastAsia" w:ascii="仿宋_GB2312" w:eastAsia="仿宋_GB2312"/>
                <w:b/>
                <w:bCs/>
                <w:szCs w:val="21"/>
              </w:rPr>
              <w:t>）</w:t>
            </w:r>
          </w:p>
        </w:tc>
        <w:tc>
          <w:tcPr>
            <w:tcW w:w="6956" w:type="dxa"/>
            <w:gridSpan w:val="7"/>
            <w:vAlign w:val="center"/>
          </w:tcPr>
          <w:p>
            <w:pPr>
              <w:adjustRightInd w:val="0"/>
              <w:snapToGrid w:val="0"/>
              <w:spacing w:line="320" w:lineRule="exact"/>
              <w:ind w:left="1" w:leftChars="-89" w:hanging="188" w:hangingChars="89"/>
              <w:jc w:val="center"/>
              <w:rPr>
                <w:rFonts w:hint="eastAsia" w:ascii="仿宋_GB2312" w:eastAsia="仿宋_GB2312"/>
                <w:b/>
                <w:bCs/>
                <w:szCs w:val="21"/>
              </w:rPr>
            </w:pPr>
            <w:r>
              <w:rPr>
                <w:rFonts w:hint="eastAsia" w:ascii="仿宋_GB2312" w:eastAsia="仿宋_GB2312"/>
                <w:b/>
                <w:bCs/>
                <w:szCs w:val="21"/>
              </w:rPr>
              <w:t>规划指标要求</w:t>
            </w:r>
          </w:p>
        </w:tc>
        <w:tc>
          <w:tcPr>
            <w:tcW w:w="670" w:type="dxa"/>
            <w:vMerge w:val="restart"/>
            <w:vAlign w:val="center"/>
          </w:tcPr>
          <w:p>
            <w:pPr>
              <w:autoSpaceDE w:val="0"/>
              <w:autoSpaceDN w:val="0"/>
              <w:adjustRightInd w:val="0"/>
              <w:spacing w:line="240" w:lineRule="exact"/>
              <w:jc w:val="center"/>
              <w:rPr>
                <w:rFonts w:hint="eastAsia" w:ascii="仿宋_GB2312" w:eastAsia="仿宋_GB2312"/>
                <w:b/>
                <w:bCs/>
              </w:rPr>
            </w:pPr>
            <w:r>
              <w:rPr>
                <w:rFonts w:hint="eastAsia" w:ascii="仿宋_GB2312" w:eastAsia="仿宋_GB2312"/>
                <w:b/>
                <w:bCs/>
              </w:rPr>
              <w:t>出让年限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705" w:type="dxa"/>
            <w:vMerge w:val="continue"/>
            <w:vAlign w:val="center"/>
          </w:tcPr>
          <w:p>
            <w:pPr>
              <w:adjustRightInd w:val="0"/>
              <w:snapToGrid w:val="0"/>
              <w:spacing w:line="320" w:lineRule="exact"/>
              <w:jc w:val="center"/>
              <w:rPr>
                <w:rFonts w:hint="eastAsia" w:ascii="仿宋_GB2312" w:eastAsia="仿宋_GB2312"/>
                <w:b/>
                <w:bCs/>
              </w:rPr>
            </w:pPr>
          </w:p>
        </w:tc>
        <w:tc>
          <w:tcPr>
            <w:tcW w:w="450" w:type="dxa"/>
            <w:vMerge w:val="continue"/>
            <w:vAlign w:val="center"/>
          </w:tcPr>
          <w:p>
            <w:pPr>
              <w:adjustRightInd w:val="0"/>
              <w:snapToGrid w:val="0"/>
              <w:spacing w:line="320" w:lineRule="exact"/>
              <w:jc w:val="center"/>
              <w:rPr>
                <w:rFonts w:hint="eastAsia" w:ascii="仿宋_GB2312" w:eastAsia="仿宋_GB2312"/>
                <w:b/>
                <w:bCs/>
              </w:rPr>
            </w:pPr>
          </w:p>
        </w:tc>
        <w:tc>
          <w:tcPr>
            <w:tcW w:w="750" w:type="dxa"/>
            <w:vMerge w:val="continue"/>
            <w:vAlign w:val="center"/>
          </w:tcPr>
          <w:p>
            <w:pPr>
              <w:adjustRightInd w:val="0"/>
              <w:snapToGrid w:val="0"/>
              <w:spacing w:line="320" w:lineRule="exact"/>
              <w:jc w:val="center"/>
              <w:rPr>
                <w:rFonts w:hint="eastAsia" w:ascii="仿宋_GB2312" w:eastAsia="仿宋_GB2312"/>
                <w:b/>
                <w:bCs/>
              </w:rPr>
            </w:pPr>
          </w:p>
        </w:tc>
        <w:tc>
          <w:tcPr>
            <w:tcW w:w="675" w:type="dxa"/>
            <w:vMerge w:val="continue"/>
            <w:vAlign w:val="center"/>
          </w:tcPr>
          <w:p>
            <w:pPr>
              <w:adjustRightInd w:val="0"/>
              <w:snapToGrid w:val="0"/>
              <w:spacing w:line="320" w:lineRule="exact"/>
              <w:jc w:val="center"/>
              <w:rPr>
                <w:rFonts w:hint="eastAsia" w:ascii="仿宋_GB2312" w:eastAsia="仿宋_GB2312"/>
                <w:b/>
                <w:bCs/>
              </w:rPr>
            </w:pPr>
          </w:p>
        </w:tc>
        <w:tc>
          <w:tcPr>
            <w:tcW w:w="774" w:type="dxa"/>
            <w:vMerge w:val="continue"/>
            <w:vAlign w:val="center"/>
          </w:tcPr>
          <w:p>
            <w:pPr>
              <w:adjustRightInd w:val="0"/>
              <w:snapToGrid w:val="0"/>
              <w:spacing w:line="320" w:lineRule="exact"/>
              <w:jc w:val="center"/>
              <w:rPr>
                <w:rFonts w:hint="eastAsia" w:ascii="仿宋_GB2312" w:eastAsia="仿宋_GB2312"/>
                <w:b/>
                <w:bCs/>
              </w:rPr>
            </w:pPr>
          </w:p>
        </w:tc>
        <w:tc>
          <w:tcPr>
            <w:tcW w:w="948" w:type="dxa"/>
            <w:vAlign w:val="center"/>
          </w:tcPr>
          <w:p>
            <w:pPr>
              <w:spacing w:line="320" w:lineRule="exact"/>
              <w:jc w:val="center"/>
              <w:rPr>
                <w:rFonts w:hint="eastAsia" w:ascii="仿宋_GB2312" w:eastAsia="仿宋_GB2312"/>
                <w:b/>
                <w:bCs/>
                <w:szCs w:val="21"/>
              </w:rPr>
            </w:pPr>
            <w:r>
              <w:rPr>
                <w:rFonts w:hint="eastAsia" w:ascii="仿宋_GB2312" w:eastAsia="仿宋_GB2312"/>
                <w:b/>
                <w:bCs/>
                <w:szCs w:val="21"/>
              </w:rPr>
              <w:t>计算指标用地面积（</w:t>
            </w:r>
            <w:r>
              <w:rPr>
                <w:rFonts w:hint="eastAsia" w:ascii="宋体" w:hAnsi="宋体" w:cs="宋体"/>
                <w:b/>
                <w:bCs/>
                <w:szCs w:val="21"/>
              </w:rPr>
              <w:t>㎡</w:t>
            </w:r>
            <w:r>
              <w:rPr>
                <w:rFonts w:hint="eastAsia" w:ascii="仿宋_GB2312" w:eastAsia="仿宋_GB2312"/>
                <w:b/>
                <w:bCs/>
                <w:szCs w:val="21"/>
              </w:rPr>
              <w:t>）</w:t>
            </w:r>
          </w:p>
        </w:tc>
        <w:tc>
          <w:tcPr>
            <w:tcW w:w="720"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建筑密度</w:t>
            </w:r>
          </w:p>
          <w:p>
            <w:pPr>
              <w:autoSpaceDE w:val="0"/>
              <w:autoSpaceDN w:val="0"/>
              <w:adjustRightInd w:val="0"/>
              <w:spacing w:line="240" w:lineRule="exact"/>
              <w:jc w:val="center"/>
              <w:rPr>
                <w:rFonts w:hint="eastAsia" w:ascii="仿宋_GB2312" w:eastAsia="仿宋_GB2312"/>
                <w:b/>
                <w:bCs/>
                <w:szCs w:val="21"/>
              </w:rPr>
            </w:pPr>
            <w:r>
              <w:rPr>
                <w:rFonts w:hint="eastAsia" w:ascii="宋体" w:hAnsi="宋体" w:cs="宋体"/>
                <w:b/>
                <w:szCs w:val="21"/>
              </w:rPr>
              <w:t>（％）</w:t>
            </w:r>
          </w:p>
        </w:tc>
        <w:tc>
          <w:tcPr>
            <w:tcW w:w="1233" w:type="dxa"/>
            <w:vAlign w:val="center"/>
          </w:tcPr>
          <w:p>
            <w:pPr>
              <w:autoSpaceDE w:val="0"/>
              <w:autoSpaceDN w:val="0"/>
              <w:adjustRightInd w:val="0"/>
              <w:spacing w:line="240" w:lineRule="exact"/>
              <w:jc w:val="center"/>
              <w:rPr>
                <w:rFonts w:hint="eastAsia" w:ascii="仿宋_GB2312" w:eastAsia="仿宋_GB2312"/>
                <w:b/>
                <w:bCs/>
                <w:szCs w:val="21"/>
              </w:rPr>
            </w:pPr>
            <w:r>
              <w:rPr>
                <w:rFonts w:hint="eastAsia" w:ascii="仿宋_GB2312" w:eastAsia="仿宋_GB2312"/>
                <w:b/>
                <w:bCs/>
                <w:szCs w:val="21"/>
              </w:rPr>
              <w:t>容积率</w:t>
            </w:r>
          </w:p>
        </w:tc>
        <w:tc>
          <w:tcPr>
            <w:tcW w:w="1605" w:type="dxa"/>
            <w:vAlign w:val="center"/>
          </w:tcPr>
          <w:p>
            <w:pPr>
              <w:spacing w:line="320" w:lineRule="exact"/>
              <w:ind w:left="44" w:right="-53" w:rightChars="-25" w:hanging="44" w:hangingChars="21"/>
              <w:jc w:val="center"/>
              <w:rPr>
                <w:rFonts w:hint="eastAsia" w:ascii="仿宋_GB2312" w:eastAsia="仿宋_GB2312"/>
                <w:b/>
                <w:bCs/>
                <w:szCs w:val="21"/>
              </w:rPr>
            </w:pPr>
            <w:r>
              <w:rPr>
                <w:rFonts w:hint="eastAsia" w:ascii="仿宋_GB2312" w:eastAsia="仿宋_GB2312"/>
                <w:b/>
                <w:bCs/>
                <w:szCs w:val="21"/>
              </w:rPr>
              <w:t>计容积率建筑面积（</w:t>
            </w:r>
            <w:r>
              <w:rPr>
                <w:rFonts w:hint="eastAsia" w:ascii="宋体" w:hAnsi="宋体" w:cs="宋体"/>
                <w:b/>
                <w:bCs/>
                <w:szCs w:val="21"/>
              </w:rPr>
              <w:t>㎡</w:t>
            </w:r>
            <w:r>
              <w:rPr>
                <w:rFonts w:hint="eastAsia" w:ascii="仿宋_GB2312" w:eastAsia="仿宋_GB2312"/>
                <w:b/>
                <w:bCs/>
                <w:szCs w:val="21"/>
              </w:rPr>
              <w:t>）</w:t>
            </w:r>
          </w:p>
        </w:tc>
        <w:tc>
          <w:tcPr>
            <w:tcW w:w="885" w:type="dxa"/>
            <w:vAlign w:val="center"/>
          </w:tcPr>
          <w:p>
            <w:pPr>
              <w:autoSpaceDE w:val="0"/>
              <w:autoSpaceDN w:val="0"/>
              <w:adjustRightInd w:val="0"/>
              <w:spacing w:line="240" w:lineRule="exact"/>
              <w:jc w:val="center"/>
              <w:rPr>
                <w:rFonts w:hint="eastAsia" w:ascii="仿宋_GB2312" w:eastAsia="仿宋_GB2312"/>
                <w:b/>
                <w:bCs/>
              </w:rPr>
            </w:pPr>
            <w:r>
              <w:rPr>
                <w:rFonts w:hint="eastAsia" w:eastAsia="仿宋_GB2312"/>
                <w:b/>
                <w:szCs w:val="21"/>
              </w:rPr>
              <w:t>机动车停车位配建标准</w:t>
            </w:r>
          </w:p>
        </w:tc>
        <w:tc>
          <w:tcPr>
            <w:tcW w:w="857" w:type="dxa"/>
            <w:vAlign w:val="center"/>
          </w:tcPr>
          <w:p>
            <w:pPr>
              <w:autoSpaceDE w:val="0"/>
              <w:autoSpaceDN w:val="0"/>
              <w:adjustRightInd w:val="0"/>
              <w:spacing w:line="240" w:lineRule="exact"/>
              <w:jc w:val="center"/>
              <w:rPr>
                <w:rFonts w:hint="eastAsia" w:eastAsia="仿宋_GB2312"/>
                <w:b/>
                <w:szCs w:val="21"/>
              </w:rPr>
            </w:pPr>
            <w:r>
              <w:rPr>
                <w:rFonts w:hint="eastAsia" w:eastAsia="仿宋_GB2312"/>
                <w:b/>
                <w:szCs w:val="21"/>
              </w:rPr>
              <w:t>绿地率</w:t>
            </w:r>
          </w:p>
          <w:p>
            <w:pPr>
              <w:autoSpaceDE w:val="0"/>
              <w:autoSpaceDN w:val="0"/>
              <w:adjustRightInd w:val="0"/>
              <w:spacing w:line="240" w:lineRule="exact"/>
              <w:jc w:val="center"/>
              <w:rPr>
                <w:rFonts w:hint="eastAsia" w:eastAsia="仿宋_GB2312"/>
                <w:b/>
                <w:szCs w:val="21"/>
              </w:rPr>
            </w:pPr>
            <w:r>
              <w:rPr>
                <w:rFonts w:hint="eastAsia" w:ascii="宋体" w:hAnsi="宋体" w:cs="宋体"/>
                <w:b/>
                <w:szCs w:val="21"/>
              </w:rPr>
              <w:t>（％）</w:t>
            </w:r>
          </w:p>
        </w:tc>
        <w:tc>
          <w:tcPr>
            <w:tcW w:w="708" w:type="dxa"/>
            <w:vAlign w:val="center"/>
          </w:tcPr>
          <w:p>
            <w:pPr>
              <w:spacing w:line="320" w:lineRule="exact"/>
              <w:ind w:left="44" w:right="-53" w:rightChars="-25" w:hanging="44" w:hangingChars="21"/>
              <w:jc w:val="center"/>
              <w:rPr>
                <w:rFonts w:hint="eastAsia" w:ascii="仿宋_GB2312" w:eastAsia="仿宋_GB2312"/>
                <w:b/>
                <w:bCs/>
              </w:rPr>
            </w:pPr>
            <w:r>
              <w:rPr>
                <w:rFonts w:hint="eastAsia" w:ascii="仿宋_GB2312" w:eastAsia="仿宋_GB2312"/>
                <w:b/>
                <w:bCs/>
                <w:szCs w:val="21"/>
              </w:rPr>
              <w:t>适建性</w:t>
            </w:r>
          </w:p>
          <w:p>
            <w:pPr>
              <w:autoSpaceDE w:val="0"/>
              <w:autoSpaceDN w:val="0"/>
              <w:adjustRightInd w:val="0"/>
              <w:spacing w:line="240" w:lineRule="exact"/>
              <w:jc w:val="center"/>
              <w:rPr>
                <w:rFonts w:hint="eastAsia" w:ascii="仿宋_GB2312" w:eastAsia="仿宋_GB2312"/>
                <w:b/>
                <w:bCs/>
              </w:rPr>
            </w:pPr>
          </w:p>
        </w:tc>
        <w:tc>
          <w:tcPr>
            <w:tcW w:w="670" w:type="dxa"/>
            <w:vMerge w:val="continue"/>
            <w:vAlign w:val="center"/>
          </w:tcPr>
          <w:p>
            <w:pPr>
              <w:autoSpaceDE w:val="0"/>
              <w:autoSpaceDN w:val="0"/>
              <w:adjustRightInd w:val="0"/>
              <w:spacing w:line="240" w:lineRule="exact"/>
              <w:jc w:val="center"/>
              <w:rPr>
                <w:rFonts w:hint="eastAsia"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705" w:type="dxa"/>
            <w:vMerge w:val="restart"/>
            <w:tcMar>
              <w:left w:w="0" w:type="dxa"/>
              <w:right w:w="0" w:type="dxa"/>
            </w:tcMar>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GP2020-40</w:t>
            </w:r>
          </w:p>
        </w:tc>
        <w:tc>
          <w:tcPr>
            <w:tcW w:w="450" w:type="dxa"/>
            <w:vMerge w:val="restart"/>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lang w:val="en-US" w:eastAsia="zh-CN"/>
              </w:rPr>
              <w:t>惠州市惠城区水口青塘湖片区</w:t>
            </w:r>
          </w:p>
        </w:tc>
        <w:tc>
          <w:tcPr>
            <w:tcW w:w="75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JD-106-03</w:t>
            </w:r>
          </w:p>
        </w:tc>
        <w:tc>
          <w:tcPr>
            <w:tcW w:w="675" w:type="dxa"/>
            <w:tcMar>
              <w:left w:w="0" w:type="dxa"/>
              <w:right w:w="0" w:type="dxa"/>
            </w:tcMar>
            <w:vAlign w:val="center"/>
          </w:tcPr>
          <w:p>
            <w:pPr>
              <w:jc w:val="center"/>
              <w:rPr>
                <w:rFonts w:hint="eastAsia" w:ascii="仿宋_GB2312" w:hAnsi="Times New Roman" w:eastAsia="仿宋_GB2312"/>
                <w:szCs w:val="21"/>
              </w:rPr>
            </w:pPr>
            <w:r>
              <w:rPr>
                <w:rFonts w:hint="eastAsia" w:ascii="仿宋_GB2312" w:hAnsi="Times New Roman" w:eastAsia="仿宋_GB2312"/>
                <w:szCs w:val="21"/>
                <w:lang w:eastAsia="zh-CN"/>
              </w:rPr>
              <w:t>一类工业用地</w:t>
            </w:r>
          </w:p>
        </w:tc>
        <w:tc>
          <w:tcPr>
            <w:tcW w:w="774"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53068</w:t>
            </w:r>
          </w:p>
        </w:tc>
        <w:tc>
          <w:tcPr>
            <w:tcW w:w="948"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65365</w:t>
            </w:r>
          </w:p>
        </w:tc>
        <w:tc>
          <w:tcPr>
            <w:tcW w:w="720"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≥30</w:t>
            </w:r>
          </w:p>
        </w:tc>
        <w:tc>
          <w:tcPr>
            <w:tcW w:w="1233"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1.8-3.5</w:t>
            </w:r>
          </w:p>
        </w:tc>
        <w:tc>
          <w:tcPr>
            <w:tcW w:w="1605"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117657-228777</w:t>
            </w:r>
          </w:p>
        </w:tc>
        <w:tc>
          <w:tcPr>
            <w:tcW w:w="885"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每100平方米计容积率面积≥1个</w:t>
            </w:r>
          </w:p>
        </w:tc>
        <w:tc>
          <w:tcPr>
            <w:tcW w:w="857" w:type="dxa"/>
            <w:vAlign w:val="center"/>
          </w:tcPr>
          <w:p>
            <w:pPr>
              <w:jc w:val="both"/>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15-20</w:t>
            </w:r>
          </w:p>
        </w:tc>
        <w:tc>
          <w:tcPr>
            <w:tcW w:w="708"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工业厂房及配套设施</w:t>
            </w:r>
          </w:p>
        </w:tc>
        <w:tc>
          <w:tcPr>
            <w:tcW w:w="67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50年</w:t>
            </w:r>
          </w:p>
          <w:p>
            <w:pPr>
              <w:jc w:val="center"/>
              <w:rPr>
                <w:rFonts w:hint="eastAsia" w:ascii="仿宋_GB2312" w:hAnsi="Times New Roman"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705" w:type="dxa"/>
            <w:vMerge w:val="continue"/>
            <w:tcMar>
              <w:left w:w="0" w:type="dxa"/>
              <w:right w:w="0" w:type="dxa"/>
            </w:tcMar>
            <w:vAlign w:val="center"/>
          </w:tcPr>
          <w:p>
            <w:pPr>
              <w:jc w:val="center"/>
              <w:rPr>
                <w:rFonts w:hint="eastAsia" w:ascii="仿宋_GB2312" w:hAnsi="Times New Roman" w:eastAsia="仿宋_GB2312"/>
                <w:szCs w:val="21"/>
              </w:rPr>
            </w:pPr>
          </w:p>
        </w:tc>
        <w:tc>
          <w:tcPr>
            <w:tcW w:w="450" w:type="dxa"/>
            <w:vMerge w:val="continue"/>
            <w:vAlign w:val="center"/>
          </w:tcPr>
          <w:p>
            <w:pPr>
              <w:jc w:val="center"/>
              <w:rPr>
                <w:rFonts w:hint="eastAsia" w:ascii="仿宋_GB2312" w:hAnsi="Times New Roman" w:eastAsia="仿宋_GB2312"/>
                <w:szCs w:val="21"/>
                <w:lang w:val="en-US" w:eastAsia="zh-CN"/>
              </w:rPr>
            </w:pPr>
          </w:p>
        </w:tc>
        <w:tc>
          <w:tcPr>
            <w:tcW w:w="750"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JD-112-02</w:t>
            </w:r>
          </w:p>
        </w:tc>
        <w:tc>
          <w:tcPr>
            <w:tcW w:w="675" w:type="dxa"/>
            <w:tcMar>
              <w:left w:w="0" w:type="dxa"/>
              <w:right w:w="0" w:type="dxa"/>
            </w:tcMar>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eastAsia="zh-CN"/>
              </w:rPr>
              <w:t>一类工业用地</w:t>
            </w:r>
          </w:p>
        </w:tc>
        <w:tc>
          <w:tcPr>
            <w:tcW w:w="774"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51524</w:t>
            </w:r>
          </w:p>
        </w:tc>
        <w:tc>
          <w:tcPr>
            <w:tcW w:w="948"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65856</w:t>
            </w:r>
          </w:p>
        </w:tc>
        <w:tc>
          <w:tcPr>
            <w:tcW w:w="72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≥30</w:t>
            </w:r>
          </w:p>
        </w:tc>
        <w:tc>
          <w:tcPr>
            <w:tcW w:w="1233"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1.8-3.5</w:t>
            </w:r>
          </w:p>
        </w:tc>
        <w:tc>
          <w:tcPr>
            <w:tcW w:w="1605"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118541-230496</w:t>
            </w:r>
          </w:p>
        </w:tc>
        <w:tc>
          <w:tcPr>
            <w:tcW w:w="885"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每100平方米计容积率面积≥1个</w:t>
            </w:r>
          </w:p>
        </w:tc>
        <w:tc>
          <w:tcPr>
            <w:tcW w:w="857"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15-20</w:t>
            </w:r>
          </w:p>
        </w:tc>
        <w:tc>
          <w:tcPr>
            <w:tcW w:w="708"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工业厂房及配套设施</w:t>
            </w:r>
          </w:p>
        </w:tc>
        <w:tc>
          <w:tcPr>
            <w:tcW w:w="67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50年</w:t>
            </w:r>
          </w:p>
          <w:p>
            <w:pPr>
              <w:jc w:val="center"/>
              <w:rPr>
                <w:rFonts w:hint="eastAsia" w:ascii="仿宋_GB2312" w:hAnsi="Times New Roman"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705" w:type="dxa"/>
            <w:vMerge w:val="continue"/>
            <w:tcMar>
              <w:left w:w="0" w:type="dxa"/>
              <w:right w:w="0" w:type="dxa"/>
            </w:tcMar>
            <w:vAlign w:val="center"/>
          </w:tcPr>
          <w:p>
            <w:pPr>
              <w:jc w:val="center"/>
              <w:rPr>
                <w:rFonts w:hint="eastAsia" w:ascii="仿宋_GB2312" w:hAnsi="Times New Roman" w:eastAsia="仿宋_GB2312"/>
                <w:szCs w:val="21"/>
              </w:rPr>
            </w:pPr>
          </w:p>
        </w:tc>
        <w:tc>
          <w:tcPr>
            <w:tcW w:w="450" w:type="dxa"/>
            <w:vMerge w:val="continue"/>
            <w:vAlign w:val="center"/>
          </w:tcPr>
          <w:p>
            <w:pPr>
              <w:jc w:val="center"/>
              <w:rPr>
                <w:rFonts w:hint="eastAsia" w:ascii="仿宋_GB2312" w:hAnsi="Times New Roman" w:eastAsia="仿宋_GB2312"/>
                <w:szCs w:val="21"/>
                <w:lang w:val="en-US" w:eastAsia="zh-CN"/>
              </w:rPr>
            </w:pPr>
          </w:p>
        </w:tc>
        <w:tc>
          <w:tcPr>
            <w:tcW w:w="750"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JD-112-04</w:t>
            </w:r>
          </w:p>
        </w:tc>
        <w:tc>
          <w:tcPr>
            <w:tcW w:w="675" w:type="dxa"/>
            <w:tcMar>
              <w:left w:w="0" w:type="dxa"/>
              <w:right w:w="0" w:type="dxa"/>
            </w:tcMar>
            <w:vAlign w:val="center"/>
          </w:tcPr>
          <w:p>
            <w:pPr>
              <w:jc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eastAsia="zh-CN"/>
              </w:rPr>
              <w:t>一类工业用地</w:t>
            </w:r>
          </w:p>
        </w:tc>
        <w:tc>
          <w:tcPr>
            <w:tcW w:w="774"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33205</w:t>
            </w:r>
          </w:p>
        </w:tc>
        <w:tc>
          <w:tcPr>
            <w:tcW w:w="948" w:type="dxa"/>
            <w:vAlign w:val="center"/>
          </w:tcPr>
          <w:p>
            <w:pPr>
              <w:jc w:val="center"/>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44298</w:t>
            </w:r>
          </w:p>
        </w:tc>
        <w:tc>
          <w:tcPr>
            <w:tcW w:w="72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≥30</w:t>
            </w:r>
          </w:p>
        </w:tc>
        <w:tc>
          <w:tcPr>
            <w:tcW w:w="1233"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1.8-3.5</w:t>
            </w:r>
          </w:p>
        </w:tc>
        <w:tc>
          <w:tcPr>
            <w:tcW w:w="1605"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79737-155043</w:t>
            </w:r>
          </w:p>
        </w:tc>
        <w:tc>
          <w:tcPr>
            <w:tcW w:w="885"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每100平方米计容积率面积≥1个</w:t>
            </w:r>
          </w:p>
        </w:tc>
        <w:tc>
          <w:tcPr>
            <w:tcW w:w="857"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15-20</w:t>
            </w:r>
          </w:p>
        </w:tc>
        <w:tc>
          <w:tcPr>
            <w:tcW w:w="708"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工业厂房及配套设施</w:t>
            </w:r>
          </w:p>
        </w:tc>
        <w:tc>
          <w:tcPr>
            <w:tcW w:w="67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50年</w:t>
            </w:r>
          </w:p>
          <w:p>
            <w:pPr>
              <w:jc w:val="center"/>
              <w:rPr>
                <w:rFonts w:hint="eastAsia" w:ascii="仿宋_GB2312" w:hAnsi="Times New Roman" w:eastAsia="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6" w:hRule="atLeast"/>
          <w:jc w:val="center"/>
        </w:trPr>
        <w:tc>
          <w:tcPr>
            <w:tcW w:w="705" w:type="dxa"/>
            <w:vMerge w:val="continue"/>
            <w:tcMar>
              <w:left w:w="0" w:type="dxa"/>
              <w:right w:w="0" w:type="dxa"/>
            </w:tcMar>
            <w:vAlign w:val="center"/>
          </w:tcPr>
          <w:p>
            <w:pPr>
              <w:jc w:val="center"/>
              <w:rPr>
                <w:rFonts w:hint="eastAsia" w:ascii="仿宋_GB2312" w:hAnsi="Times New Roman" w:eastAsia="仿宋_GB2312"/>
                <w:szCs w:val="21"/>
              </w:rPr>
            </w:pPr>
          </w:p>
        </w:tc>
        <w:tc>
          <w:tcPr>
            <w:tcW w:w="450" w:type="dxa"/>
            <w:vMerge w:val="continue"/>
            <w:vAlign w:val="center"/>
          </w:tcPr>
          <w:p>
            <w:pPr>
              <w:jc w:val="center"/>
              <w:rPr>
                <w:rFonts w:hint="eastAsia" w:ascii="仿宋_GB2312" w:hAnsi="Times New Roman" w:eastAsia="仿宋_GB2312"/>
                <w:szCs w:val="21"/>
                <w:lang w:val="en-US" w:eastAsia="zh-CN"/>
              </w:rPr>
            </w:pPr>
          </w:p>
        </w:tc>
        <w:tc>
          <w:tcPr>
            <w:tcW w:w="75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JD-117-14</w:t>
            </w:r>
          </w:p>
        </w:tc>
        <w:tc>
          <w:tcPr>
            <w:tcW w:w="675" w:type="dxa"/>
            <w:tcMar>
              <w:left w:w="0" w:type="dxa"/>
              <w:right w:w="0" w:type="dxa"/>
            </w:tcMar>
            <w:vAlign w:val="center"/>
          </w:tcPr>
          <w:p>
            <w:pPr>
              <w:jc w:val="center"/>
              <w:rPr>
                <w:rFonts w:hint="eastAsia" w:ascii="仿宋_GB2312" w:hAnsi="Times New Roman" w:eastAsia="仿宋_GB2312"/>
                <w:szCs w:val="21"/>
                <w:lang w:eastAsia="zh-CN"/>
              </w:rPr>
            </w:pPr>
            <w:r>
              <w:rPr>
                <w:rFonts w:hint="eastAsia" w:ascii="仿宋_GB2312" w:hAnsi="Times New Roman" w:eastAsia="仿宋_GB2312"/>
                <w:szCs w:val="21"/>
                <w:lang w:eastAsia="zh-CN"/>
              </w:rPr>
              <w:t>一类工业用地</w:t>
            </w:r>
          </w:p>
        </w:tc>
        <w:tc>
          <w:tcPr>
            <w:tcW w:w="774"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57194</w:t>
            </w:r>
          </w:p>
        </w:tc>
        <w:tc>
          <w:tcPr>
            <w:tcW w:w="948"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76103</w:t>
            </w:r>
          </w:p>
        </w:tc>
        <w:tc>
          <w:tcPr>
            <w:tcW w:w="72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≥30</w:t>
            </w:r>
          </w:p>
        </w:tc>
        <w:tc>
          <w:tcPr>
            <w:tcW w:w="1233"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1.8-3.5</w:t>
            </w:r>
          </w:p>
        </w:tc>
        <w:tc>
          <w:tcPr>
            <w:tcW w:w="1605"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136986-266360</w:t>
            </w:r>
          </w:p>
        </w:tc>
        <w:tc>
          <w:tcPr>
            <w:tcW w:w="885"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每100平方米计容积率面积≥1个</w:t>
            </w:r>
          </w:p>
        </w:tc>
        <w:tc>
          <w:tcPr>
            <w:tcW w:w="857"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15-20</w:t>
            </w:r>
          </w:p>
        </w:tc>
        <w:tc>
          <w:tcPr>
            <w:tcW w:w="708"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工业厂房及配套设施</w:t>
            </w:r>
          </w:p>
        </w:tc>
        <w:tc>
          <w:tcPr>
            <w:tcW w:w="670" w:type="dxa"/>
            <w:vAlign w:val="center"/>
          </w:tcPr>
          <w:p>
            <w:pPr>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50年</w:t>
            </w:r>
          </w:p>
        </w:tc>
      </w:tr>
    </w:tbl>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hint="eastAsia"/>
      </w:rPr>
    </w:pPr>
  </w:p>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969B"/>
    <w:multiLevelType w:val="singleLevel"/>
    <w:tmpl w:val="015C969B"/>
    <w:lvl w:ilvl="0" w:tentative="0">
      <w:start w:val="2"/>
      <w:numFmt w:val="chineseCounting"/>
      <w:suff w:val="nothing"/>
      <w:lvlText w:val="（%1）"/>
      <w:lvlJc w:val="left"/>
      <w:rPr>
        <w:rFonts w:hint="eastAsia"/>
      </w:rPr>
    </w:lvl>
  </w:abstractNum>
  <w:abstractNum w:abstractNumId="1">
    <w:nsid w:val="11AEA62B"/>
    <w:multiLevelType w:val="singleLevel"/>
    <w:tmpl w:val="11AEA62B"/>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415D2"/>
    <w:rsid w:val="0E7A65F6"/>
    <w:rsid w:val="10BD4DFA"/>
    <w:rsid w:val="12912122"/>
    <w:rsid w:val="167673A1"/>
    <w:rsid w:val="17AA0480"/>
    <w:rsid w:val="188D227F"/>
    <w:rsid w:val="1A0B2C56"/>
    <w:rsid w:val="1D4423DE"/>
    <w:rsid w:val="1E862B6D"/>
    <w:rsid w:val="20ED2229"/>
    <w:rsid w:val="22890C8D"/>
    <w:rsid w:val="23BF3D0B"/>
    <w:rsid w:val="28774868"/>
    <w:rsid w:val="29284D69"/>
    <w:rsid w:val="304C7078"/>
    <w:rsid w:val="35335FA2"/>
    <w:rsid w:val="36061489"/>
    <w:rsid w:val="38BD14D1"/>
    <w:rsid w:val="3F4912B9"/>
    <w:rsid w:val="40230608"/>
    <w:rsid w:val="40363F40"/>
    <w:rsid w:val="43706132"/>
    <w:rsid w:val="45300F52"/>
    <w:rsid w:val="49205A27"/>
    <w:rsid w:val="4C6B34BE"/>
    <w:rsid w:val="4E9251A1"/>
    <w:rsid w:val="51E0686D"/>
    <w:rsid w:val="5AF873B7"/>
    <w:rsid w:val="5D2260A7"/>
    <w:rsid w:val="692A6240"/>
    <w:rsid w:val="6EB83079"/>
    <w:rsid w:val="71E23620"/>
    <w:rsid w:val="734C52B3"/>
    <w:rsid w:val="761352C3"/>
    <w:rsid w:val="76CB444F"/>
    <w:rsid w:val="782B392E"/>
    <w:rsid w:val="7D06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8"/>
      <w:szCs w:val="20"/>
    </w:rPr>
  </w:style>
  <w:style w:type="paragraph" w:styleId="3">
    <w:name w:val="Body Text Indent"/>
    <w:basedOn w:val="1"/>
    <w:qFormat/>
    <w:uiPriority w:val="0"/>
    <w:pPr>
      <w:widowControl/>
      <w:adjustRightInd w:val="0"/>
      <w:snapToGrid w:val="0"/>
      <w:spacing w:before="100"/>
      <w:ind w:firstLine="640" w:firstLineChars="200"/>
      <w:jc w:val="left"/>
    </w:pPr>
    <w:rPr>
      <w:rFonts w:ascii="仿宋_GB2312" w:hAnsi="华文中宋" w:eastAsia="仿宋_GB2312"/>
      <w:kern w:val="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2019-12-12T06:35:00Z</dcterms:created>
  <dc:creator>Administrator</dc:creator>
  <cp:lastModifiedBy>黄春枚</cp:lastModifiedBy>
  <cp:lastPrinted>2020-10-21T02:27:00Z</cp:lastPrinted>
  <dcterms:modified xsi:type="dcterms:W3CDTF">2020-10-23T02:10:57Z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