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040</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sz w:val="32"/>
          <w:szCs w:val="32"/>
          <w:lang w:val="en-US" w:eastAsia="zh-CN"/>
        </w:rPr>
        <w:t>24610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7383</w:t>
      </w:r>
      <w:r>
        <w:rPr>
          <w:rFonts w:hint="eastAsia" w:hAnsi="仿宋_GB2312" w:cs="仿宋_GB2312"/>
          <w:szCs w:val="32"/>
        </w:rPr>
        <w:t>万元人民币。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（二）竞得人在用地红线内开发建设必须符合城市规划要求，必须按上述建设方案的要求进行规划设计。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（三）存在下列违法违规违约行为之一的企业及其控股股东，不得参与竞买上述地块：</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1.因企业原因造成土地闲置一年以上的单位不得参与竞买上述地块。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存在非法转让土地使用权等违法行为的单位不得参与竞买上述地块。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拖欠政府地价款的单位不得参与竞买上述地块。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、竞得人签订《成交确认书》后，缴交的保证金中按成交价的</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%转作定金，竞得人签订《出让合同》后，定金转作土地出让价款。</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保证金少于成交价20%的，不足部分由竞得人在签订《成交确认书》之日起5个工作日内付清。</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30</w:t>
      </w:r>
      <w:r>
        <w:rPr>
          <w:rFonts w:hint="eastAsia" w:ascii="仿宋_GB2312" w:hAnsi="仿宋_GB2312" w:eastAsia="仿宋_GB2312" w:cs="仿宋_GB2312"/>
          <w:sz w:val="32"/>
          <w:szCs w:val="32"/>
          <w:lang w:val="en-US" w:eastAsia="zh-CN"/>
        </w:rPr>
        <w:t>亿</w:t>
      </w:r>
      <w:r>
        <w:rPr>
          <w:rFonts w:hint="eastAsia" w:ascii="仿宋_GB2312" w:hAnsi="仿宋_GB2312" w:eastAsia="仿宋_GB2312" w:cs="仿宋_GB2312"/>
          <w:sz w:val="32"/>
          <w:szCs w:val="32"/>
        </w:rPr>
        <w:t>元（含地价）。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（三）竞买人须提交惠城区发改局出具的与该宗地块规划确定的产业类型一致的优先发展产业项目文件。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报方案的主要技术经济指标：JD-106-03地块计算指标用地面积65365平方米，计容积率建筑面积198204.76平方米，容积率3.0，基底面积23393.7平方米，建筑密度35.8％，绿地率17.3％，机动车停车位571个（地面161个，地下410个）；JD-112-02地块计算指标用地面积65856平方米，计容积率建筑面积204900.22平方米，容积率3.1，基底面积24901.07平方米，建筑密度37.8％，绿地率15.9％，机动车停车位627个（地面82个，地下545个）；JD-112-04地块计算指标用地面积44298平方米，计容积率建筑面积140977.84平方米，容积率3.2，基底面积15696.92平方米，建筑密度35.4％，绿地率20％，机动车停车位378个（地面20个，地下358个）；JD-117-14地块计算指标用地面积76103平方米，计容积率建筑面积228369.72平方米，容积率3.0，基底面积23799.82平方米，建筑密度31.3％，绿地率19.4％，机动车停车位764个（地面152个，地下612个）。所报方案符合《建设用地规划设计条件》（案卷编号：PB20200115号）相关技术经济指标要求，同意所报总平面图和单体建筑设计方案，须按程序进行公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2、建设项目平面布置图详见附件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投资规模不低于30亿元，投资强度不低于1.2亿元/公顷，土地产出率（营业收入）不低于2.25亿元/公顷/年，税收产出不低于0.12亿元/公顷/年。其中，土地产出率及税收产出，在项目投产后3年内逐年考核，3年内的平均值不得低于上述标准。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惠城区高新科技产业园管委会提交项目投资计划书和时间安排表，并按月向惠城区高新科技产业园管委会书面报告项目进展情况，直至项目投产。</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竞得人在签订《成交确认书》前，须与惠城区高新科技产业园管委会签订《惠城区工业项目土地建设和使用监管协议书》，并由惠城区高新科技产业园管委会对项目用地实施批后监管。</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地址：惠州市</w:t>
      </w:r>
      <w:r>
        <w:rPr>
          <w:rFonts w:hint="eastAsia" w:ascii="仿宋_GB2312" w:hAnsi="仿宋_GB2312" w:eastAsia="仿宋_GB2312" w:cs="仿宋_GB2312"/>
          <w:sz w:val="32"/>
          <w:szCs w:val="32"/>
          <w:lang w:val="en-US" w:eastAsia="zh-CN"/>
        </w:rPr>
        <w:t>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陈镇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keepNext w:val="0"/>
        <w:keepLines w:val="0"/>
        <w:pageBreakBefore w:val="0"/>
        <w:widowControl w:val="0"/>
        <w:kinsoku/>
        <w:wordWrap/>
        <w:overflowPunct/>
        <w:topLinePunct w:val="0"/>
        <w:autoSpaceDE/>
        <w:autoSpaceDN/>
        <w:bidi w:val="0"/>
        <w:spacing w:line="560" w:lineRule="exact"/>
        <w:ind w:firstLine="55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520" w:lineRule="exact"/>
        <w:ind w:right="640" w:firstLine="4480" w:firstLineChars="1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惠州市公共资源交易中</w:t>
      </w:r>
      <w:r>
        <w:rPr>
          <w:rFonts w:hint="eastAsia" w:ascii="仿宋_GB2312" w:hAnsi="仿宋_GB2312" w:eastAsia="仿宋_GB2312" w:cs="仿宋_GB2312"/>
          <w:sz w:val="32"/>
          <w:szCs w:val="32"/>
          <w:lang w:val="en-US" w:eastAsia="zh-CN"/>
        </w:rPr>
        <w:t>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2020年10月22日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50"/>
        <w:gridCol w:w="750"/>
        <w:gridCol w:w="675"/>
        <w:gridCol w:w="774"/>
        <w:gridCol w:w="948"/>
        <w:gridCol w:w="720"/>
        <w:gridCol w:w="1233"/>
        <w:gridCol w:w="1605"/>
        <w:gridCol w:w="885"/>
        <w:gridCol w:w="857"/>
        <w:gridCol w:w="708"/>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45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5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67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450" w:type="dxa"/>
            <w:vMerge w:val="continue"/>
            <w:vAlign w:val="center"/>
          </w:tcPr>
          <w:p>
            <w:pPr>
              <w:adjustRightInd w:val="0"/>
              <w:snapToGrid w:val="0"/>
              <w:spacing w:line="320" w:lineRule="exact"/>
              <w:jc w:val="center"/>
              <w:rPr>
                <w:rFonts w:hint="eastAsia" w:ascii="仿宋_GB2312" w:eastAsia="仿宋_GB2312"/>
                <w:b/>
                <w:bCs/>
              </w:rPr>
            </w:pPr>
          </w:p>
        </w:tc>
        <w:tc>
          <w:tcPr>
            <w:tcW w:w="750" w:type="dxa"/>
            <w:vMerge w:val="continue"/>
            <w:vAlign w:val="center"/>
          </w:tcPr>
          <w:p>
            <w:pPr>
              <w:adjustRightInd w:val="0"/>
              <w:snapToGrid w:val="0"/>
              <w:spacing w:line="320" w:lineRule="exact"/>
              <w:jc w:val="center"/>
              <w:rPr>
                <w:rFonts w:hint="eastAsia" w:ascii="仿宋_GB2312" w:eastAsia="仿宋_GB2312"/>
                <w:b/>
                <w:bCs/>
              </w:rPr>
            </w:pPr>
          </w:p>
        </w:tc>
        <w:tc>
          <w:tcPr>
            <w:tcW w:w="675"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1233"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05"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885"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857"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708" w:type="dxa"/>
            <w:vAlign w:val="center"/>
          </w:tcPr>
          <w:p>
            <w:pPr>
              <w:spacing w:line="320" w:lineRule="exact"/>
              <w:ind w:left="44" w:right="-53" w:rightChars="-25" w:hanging="44" w:hangingChars="21"/>
              <w:jc w:val="center"/>
              <w:rPr>
                <w:rFonts w:hint="eastAsia" w:ascii="仿宋_GB2312" w:eastAsia="仿宋_GB2312"/>
                <w:b/>
                <w:bCs/>
              </w:rPr>
            </w:pPr>
            <w:r>
              <w:rPr>
                <w:rFonts w:hint="eastAsia" w:ascii="仿宋_GB2312" w:eastAsia="仿宋_GB2312"/>
                <w:b/>
                <w:bCs/>
                <w:szCs w:val="21"/>
              </w:rPr>
              <w:t>适建性</w:t>
            </w:r>
          </w:p>
          <w:p>
            <w:pPr>
              <w:autoSpaceDE w:val="0"/>
              <w:autoSpaceDN w:val="0"/>
              <w:adjustRightInd w:val="0"/>
              <w:spacing w:line="240" w:lineRule="exact"/>
              <w:jc w:val="center"/>
              <w:rPr>
                <w:rFonts w:hint="eastAsia" w:ascii="仿宋_GB2312" w:eastAsia="仿宋_GB2312"/>
                <w:b/>
                <w:bCs/>
              </w:rPr>
            </w:pP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vMerge w:val="restart"/>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GP2020-40</w:t>
            </w:r>
          </w:p>
        </w:tc>
        <w:tc>
          <w:tcPr>
            <w:tcW w:w="450" w:type="dxa"/>
            <w:vMerge w:val="restart"/>
            <w:vAlign w:val="center"/>
          </w:tcPr>
          <w:p>
            <w:pPr>
              <w:jc w:val="center"/>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惠州市惠城区水口青塘湖片区</w:t>
            </w:r>
          </w:p>
        </w:tc>
        <w:tc>
          <w:tcPr>
            <w:tcW w:w="750"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JD-106-03</w:t>
            </w:r>
          </w:p>
        </w:tc>
        <w:tc>
          <w:tcPr>
            <w:tcW w:w="675" w:type="dxa"/>
            <w:tcMar>
              <w:left w:w="0" w:type="dxa"/>
              <w:right w:w="0" w:type="dxa"/>
            </w:tcMar>
            <w:vAlign w:val="center"/>
          </w:tcPr>
          <w:p>
            <w:pPr>
              <w:jc w:val="center"/>
              <w:rPr>
                <w:rFonts w:hint="eastAsia" w:ascii="仿宋_GB2312" w:hAnsi="Times New Roman" w:eastAsia="仿宋_GB2312"/>
                <w:szCs w:val="21"/>
              </w:rPr>
            </w:pPr>
            <w:r>
              <w:rPr>
                <w:rFonts w:hint="eastAsia" w:ascii="仿宋_GB2312" w:hAnsi="Times New Roman" w:eastAsia="仿宋_GB2312"/>
                <w:szCs w:val="21"/>
                <w:lang w:eastAsia="zh-CN"/>
              </w:rPr>
              <w:t>一类工业用地</w:t>
            </w:r>
          </w:p>
        </w:tc>
        <w:tc>
          <w:tcPr>
            <w:tcW w:w="774"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53068</w:t>
            </w:r>
          </w:p>
        </w:tc>
        <w:tc>
          <w:tcPr>
            <w:tcW w:w="948"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65365</w:t>
            </w:r>
          </w:p>
        </w:tc>
        <w:tc>
          <w:tcPr>
            <w:tcW w:w="720"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≥30</w:t>
            </w:r>
          </w:p>
        </w:tc>
        <w:tc>
          <w:tcPr>
            <w:tcW w:w="1233"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1.8-3.5</w:t>
            </w:r>
          </w:p>
        </w:tc>
        <w:tc>
          <w:tcPr>
            <w:tcW w:w="1605"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117657-228777</w:t>
            </w:r>
          </w:p>
        </w:tc>
        <w:tc>
          <w:tcPr>
            <w:tcW w:w="885"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每100平方米计容积率面积≥1个</w:t>
            </w:r>
          </w:p>
        </w:tc>
        <w:tc>
          <w:tcPr>
            <w:tcW w:w="857" w:type="dxa"/>
            <w:vAlign w:val="center"/>
          </w:tcPr>
          <w:p>
            <w:pPr>
              <w:jc w:val="both"/>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15-20</w:t>
            </w:r>
          </w:p>
        </w:tc>
        <w:tc>
          <w:tcPr>
            <w:tcW w:w="708"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工业厂房及配套设施</w:t>
            </w:r>
          </w:p>
        </w:tc>
        <w:tc>
          <w:tcPr>
            <w:tcW w:w="670"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50年</w:t>
            </w:r>
          </w:p>
          <w:p>
            <w:pPr>
              <w:jc w:val="center"/>
              <w:rPr>
                <w:rFonts w:hint="eastAsia" w:ascii="仿宋_GB2312" w:hAnsi="Times New Roman"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vMerge w:val="continue"/>
            <w:tcMar>
              <w:left w:w="0" w:type="dxa"/>
              <w:right w:w="0" w:type="dxa"/>
            </w:tcMar>
            <w:vAlign w:val="center"/>
          </w:tcPr>
          <w:p>
            <w:pPr>
              <w:jc w:val="center"/>
              <w:rPr>
                <w:rFonts w:hint="eastAsia" w:ascii="仿宋_GB2312" w:hAnsi="Times New Roman" w:eastAsia="仿宋_GB2312"/>
                <w:szCs w:val="21"/>
              </w:rPr>
            </w:pPr>
          </w:p>
        </w:tc>
        <w:tc>
          <w:tcPr>
            <w:tcW w:w="450" w:type="dxa"/>
            <w:vMerge w:val="continue"/>
            <w:vAlign w:val="center"/>
          </w:tcPr>
          <w:p>
            <w:pPr>
              <w:jc w:val="center"/>
              <w:rPr>
                <w:rFonts w:hint="eastAsia" w:ascii="仿宋_GB2312" w:hAnsi="Times New Roman" w:eastAsia="仿宋_GB2312"/>
                <w:szCs w:val="21"/>
                <w:lang w:val="en-US" w:eastAsia="zh-CN"/>
              </w:rPr>
            </w:pPr>
          </w:p>
        </w:tc>
        <w:tc>
          <w:tcPr>
            <w:tcW w:w="750"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JD-112-02</w:t>
            </w:r>
          </w:p>
        </w:tc>
        <w:tc>
          <w:tcPr>
            <w:tcW w:w="675" w:type="dxa"/>
            <w:tcMar>
              <w:left w:w="0" w:type="dxa"/>
              <w:right w:w="0" w:type="dxa"/>
            </w:tcMar>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eastAsia="zh-CN"/>
              </w:rPr>
              <w:t>一类工业用地</w:t>
            </w:r>
          </w:p>
        </w:tc>
        <w:tc>
          <w:tcPr>
            <w:tcW w:w="774"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51524</w:t>
            </w:r>
          </w:p>
        </w:tc>
        <w:tc>
          <w:tcPr>
            <w:tcW w:w="948"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65856</w:t>
            </w:r>
          </w:p>
        </w:tc>
        <w:tc>
          <w:tcPr>
            <w:tcW w:w="720"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≥30</w:t>
            </w:r>
          </w:p>
        </w:tc>
        <w:tc>
          <w:tcPr>
            <w:tcW w:w="1233"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1.8-3.5</w:t>
            </w:r>
          </w:p>
        </w:tc>
        <w:tc>
          <w:tcPr>
            <w:tcW w:w="1605"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118541-230496</w:t>
            </w:r>
          </w:p>
        </w:tc>
        <w:tc>
          <w:tcPr>
            <w:tcW w:w="885"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每100平方米计容积率面积≥1个</w:t>
            </w:r>
          </w:p>
        </w:tc>
        <w:tc>
          <w:tcPr>
            <w:tcW w:w="857"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15-20</w:t>
            </w:r>
          </w:p>
        </w:tc>
        <w:tc>
          <w:tcPr>
            <w:tcW w:w="708"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工业厂房及配套设施</w:t>
            </w:r>
          </w:p>
        </w:tc>
        <w:tc>
          <w:tcPr>
            <w:tcW w:w="670"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50年</w:t>
            </w:r>
          </w:p>
          <w:p>
            <w:pPr>
              <w:jc w:val="center"/>
              <w:rPr>
                <w:rFonts w:hint="eastAsia" w:ascii="仿宋_GB2312" w:hAnsi="Times New Roman"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vMerge w:val="continue"/>
            <w:tcMar>
              <w:left w:w="0" w:type="dxa"/>
              <w:right w:w="0" w:type="dxa"/>
            </w:tcMar>
            <w:vAlign w:val="center"/>
          </w:tcPr>
          <w:p>
            <w:pPr>
              <w:jc w:val="center"/>
              <w:rPr>
                <w:rFonts w:hint="eastAsia" w:ascii="仿宋_GB2312" w:hAnsi="Times New Roman" w:eastAsia="仿宋_GB2312"/>
                <w:szCs w:val="21"/>
              </w:rPr>
            </w:pPr>
          </w:p>
        </w:tc>
        <w:tc>
          <w:tcPr>
            <w:tcW w:w="450" w:type="dxa"/>
            <w:vMerge w:val="continue"/>
            <w:vAlign w:val="center"/>
          </w:tcPr>
          <w:p>
            <w:pPr>
              <w:jc w:val="center"/>
              <w:rPr>
                <w:rFonts w:hint="eastAsia" w:ascii="仿宋_GB2312" w:hAnsi="Times New Roman" w:eastAsia="仿宋_GB2312"/>
                <w:szCs w:val="21"/>
                <w:lang w:val="en-US" w:eastAsia="zh-CN"/>
              </w:rPr>
            </w:pPr>
          </w:p>
        </w:tc>
        <w:tc>
          <w:tcPr>
            <w:tcW w:w="750"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JD-112-04</w:t>
            </w:r>
          </w:p>
        </w:tc>
        <w:tc>
          <w:tcPr>
            <w:tcW w:w="675" w:type="dxa"/>
            <w:tcMar>
              <w:left w:w="0" w:type="dxa"/>
              <w:right w:w="0" w:type="dxa"/>
            </w:tcMar>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eastAsia="zh-CN"/>
              </w:rPr>
              <w:t>一类工业用地</w:t>
            </w:r>
          </w:p>
        </w:tc>
        <w:tc>
          <w:tcPr>
            <w:tcW w:w="774"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33205</w:t>
            </w:r>
          </w:p>
        </w:tc>
        <w:tc>
          <w:tcPr>
            <w:tcW w:w="948"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44298</w:t>
            </w:r>
          </w:p>
        </w:tc>
        <w:tc>
          <w:tcPr>
            <w:tcW w:w="720"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≥30</w:t>
            </w:r>
          </w:p>
        </w:tc>
        <w:tc>
          <w:tcPr>
            <w:tcW w:w="1233"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1.8-3.5</w:t>
            </w:r>
          </w:p>
        </w:tc>
        <w:tc>
          <w:tcPr>
            <w:tcW w:w="1605"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79737-155043</w:t>
            </w:r>
          </w:p>
        </w:tc>
        <w:tc>
          <w:tcPr>
            <w:tcW w:w="885"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每100平方米计容积率面积≥1个</w:t>
            </w:r>
          </w:p>
        </w:tc>
        <w:tc>
          <w:tcPr>
            <w:tcW w:w="857"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15-20</w:t>
            </w:r>
          </w:p>
        </w:tc>
        <w:tc>
          <w:tcPr>
            <w:tcW w:w="708"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工业厂房及配套设施</w:t>
            </w:r>
          </w:p>
        </w:tc>
        <w:tc>
          <w:tcPr>
            <w:tcW w:w="670"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50年</w:t>
            </w:r>
          </w:p>
          <w:p>
            <w:pPr>
              <w:jc w:val="center"/>
              <w:rPr>
                <w:rFonts w:hint="eastAsia" w:ascii="仿宋_GB2312" w:hAnsi="Times New Roman"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vMerge w:val="continue"/>
            <w:tcMar>
              <w:left w:w="0" w:type="dxa"/>
              <w:right w:w="0" w:type="dxa"/>
            </w:tcMar>
            <w:vAlign w:val="center"/>
          </w:tcPr>
          <w:p>
            <w:pPr>
              <w:jc w:val="center"/>
              <w:rPr>
                <w:rFonts w:hint="eastAsia" w:ascii="仿宋_GB2312" w:hAnsi="Times New Roman" w:eastAsia="仿宋_GB2312"/>
                <w:szCs w:val="21"/>
              </w:rPr>
            </w:pPr>
          </w:p>
        </w:tc>
        <w:tc>
          <w:tcPr>
            <w:tcW w:w="450" w:type="dxa"/>
            <w:vMerge w:val="continue"/>
            <w:vAlign w:val="center"/>
          </w:tcPr>
          <w:p>
            <w:pPr>
              <w:jc w:val="center"/>
              <w:rPr>
                <w:rFonts w:hint="eastAsia" w:ascii="仿宋_GB2312" w:hAnsi="Times New Roman" w:eastAsia="仿宋_GB2312"/>
                <w:szCs w:val="21"/>
                <w:lang w:val="en-US" w:eastAsia="zh-CN"/>
              </w:rPr>
            </w:pPr>
          </w:p>
        </w:tc>
        <w:tc>
          <w:tcPr>
            <w:tcW w:w="750"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JD-117-14</w:t>
            </w:r>
          </w:p>
        </w:tc>
        <w:tc>
          <w:tcPr>
            <w:tcW w:w="675" w:type="dxa"/>
            <w:tcMar>
              <w:left w:w="0" w:type="dxa"/>
              <w:right w:w="0" w:type="dxa"/>
            </w:tcMar>
            <w:vAlign w:val="center"/>
          </w:tcPr>
          <w:p>
            <w:pPr>
              <w:jc w:val="center"/>
              <w:rPr>
                <w:rFonts w:hint="eastAsia" w:ascii="仿宋_GB2312" w:hAnsi="Times New Roman" w:eastAsia="仿宋_GB2312"/>
                <w:szCs w:val="21"/>
                <w:lang w:eastAsia="zh-CN"/>
              </w:rPr>
            </w:pPr>
            <w:r>
              <w:rPr>
                <w:rFonts w:hint="eastAsia" w:ascii="仿宋_GB2312" w:hAnsi="Times New Roman" w:eastAsia="仿宋_GB2312"/>
                <w:szCs w:val="21"/>
                <w:lang w:eastAsia="zh-CN"/>
              </w:rPr>
              <w:t>一类工业用地</w:t>
            </w:r>
          </w:p>
        </w:tc>
        <w:tc>
          <w:tcPr>
            <w:tcW w:w="774"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57194</w:t>
            </w:r>
          </w:p>
        </w:tc>
        <w:tc>
          <w:tcPr>
            <w:tcW w:w="948"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76103</w:t>
            </w:r>
          </w:p>
        </w:tc>
        <w:tc>
          <w:tcPr>
            <w:tcW w:w="720"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≥30</w:t>
            </w:r>
          </w:p>
        </w:tc>
        <w:tc>
          <w:tcPr>
            <w:tcW w:w="1233"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1.8-3.5</w:t>
            </w:r>
          </w:p>
        </w:tc>
        <w:tc>
          <w:tcPr>
            <w:tcW w:w="1605"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136986-266360</w:t>
            </w:r>
          </w:p>
        </w:tc>
        <w:tc>
          <w:tcPr>
            <w:tcW w:w="885"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每100平方米计容积率面积≥1个</w:t>
            </w:r>
          </w:p>
        </w:tc>
        <w:tc>
          <w:tcPr>
            <w:tcW w:w="857"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15-20</w:t>
            </w:r>
          </w:p>
        </w:tc>
        <w:tc>
          <w:tcPr>
            <w:tcW w:w="708"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工业厂房及配套设施</w:t>
            </w:r>
          </w:p>
        </w:tc>
        <w:tc>
          <w:tcPr>
            <w:tcW w:w="670" w:type="dxa"/>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50年</w:t>
            </w: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abstractNum w:abstractNumId="1">
    <w:nsid w:val="11AEA62B"/>
    <w:multiLevelType w:val="singleLevel"/>
    <w:tmpl w:val="11AEA62B"/>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415D2"/>
    <w:rsid w:val="0E7A65F6"/>
    <w:rsid w:val="10BD4DFA"/>
    <w:rsid w:val="12912122"/>
    <w:rsid w:val="167673A1"/>
    <w:rsid w:val="17AA0480"/>
    <w:rsid w:val="188D227F"/>
    <w:rsid w:val="1A0B2C56"/>
    <w:rsid w:val="1D4423DE"/>
    <w:rsid w:val="1E862B6D"/>
    <w:rsid w:val="20ED2229"/>
    <w:rsid w:val="22890C8D"/>
    <w:rsid w:val="23BF3D0B"/>
    <w:rsid w:val="28774868"/>
    <w:rsid w:val="29284D69"/>
    <w:rsid w:val="304C7078"/>
    <w:rsid w:val="35335FA2"/>
    <w:rsid w:val="36061489"/>
    <w:rsid w:val="38BD14D1"/>
    <w:rsid w:val="3F4912B9"/>
    <w:rsid w:val="40230608"/>
    <w:rsid w:val="40363F40"/>
    <w:rsid w:val="43706132"/>
    <w:rsid w:val="45300F52"/>
    <w:rsid w:val="49205A27"/>
    <w:rsid w:val="4C6B34BE"/>
    <w:rsid w:val="4E9251A1"/>
    <w:rsid w:val="51E0686D"/>
    <w:rsid w:val="5AF873B7"/>
    <w:rsid w:val="5D2260A7"/>
    <w:rsid w:val="692A6240"/>
    <w:rsid w:val="6EB83079"/>
    <w:rsid w:val="71E23620"/>
    <w:rsid w:val="734C52B3"/>
    <w:rsid w:val="761352C3"/>
    <w:rsid w:val="76CB444F"/>
    <w:rsid w:val="782B392E"/>
    <w:rsid w:val="7D06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黄春枚</cp:lastModifiedBy>
  <cp:lastPrinted>2020-10-21T02:27:00Z</cp:lastPrinted>
  <dcterms:modified xsi:type="dcterms:W3CDTF">2020-10-23T02:10:57Z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