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r>
        <w:rPr>
          <w:rFonts w:hint="eastAsia" w:ascii="方正小标宋_GBK" w:hAnsi="华文中宋" w:eastAsia="方正小标宋_GBK" w:cs="Times New Roman"/>
          <w:b/>
          <w:bCs/>
          <w:spacing w:val="3"/>
          <w:kern w:val="2"/>
          <w:sz w:val="44"/>
          <w:szCs w:val="44"/>
          <w:lang w:val="en-US" w:eastAsia="zh-CN" w:bidi="ar-SA"/>
        </w:rPr>
        <w:t>惠州市国有建设用地使用权网上挂牌出让公告</w:t>
      </w:r>
    </w:p>
    <w:p>
      <w:pPr>
        <w:spacing w:line="520" w:lineRule="exact"/>
        <w:ind w:firstLine="612"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w:t>
      </w:r>
      <w:r>
        <w:rPr>
          <w:rFonts w:hint="eastAsia" w:ascii="仿宋_GB2312"/>
          <w:sz w:val="32"/>
          <w:szCs w:val="32"/>
          <w:lang w:val="en-US" w:eastAsia="zh-CN"/>
        </w:rPr>
        <w:t>34</w:t>
      </w:r>
      <w:r>
        <w:rPr>
          <w:rFonts w:hint="eastAsia" w:ascii="仿宋_GB2312" w:eastAsia="仿宋_GB2312"/>
          <w:sz w:val="32"/>
          <w:szCs w:val="32"/>
        </w:rPr>
        <w:t>号</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根据《招标拍卖挂牌出让国有建设用地使用权规定》（国土资源部令 第39号）和《广东省土地使用权交易市场管理规定》（广东省人民政府令 第79号）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一、网上挂牌出让地块基本情况及规划指标要求（见附表）。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二、网上挂牌竞买时间为2020年10月20日9时至2020年11月3日10时。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三、挂牌起始价为人民币226000万元，每次报价加价幅度为人民币1000万元的整数倍。</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四、中华人民共和国境内外的法人、自然人和其他组织（除法律法规另有规定外）均可申请参加竞买。申请人可以单独申请，也可以联合申请：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ascii="Times New Roman" w:hAnsi="Times New Roman"/>
          <w:lang w:val="en-US" w:eastAsia="zh-CN"/>
        </w:rPr>
        <w:t>根据挂牌出让结果，可先与竞得人签订《国有建设用</w:t>
      </w:r>
      <w:r>
        <w:rPr>
          <w:rFonts w:hint="eastAsia"/>
          <w:lang w:val="en-US" w:eastAsia="zh-CN"/>
        </w:rPr>
        <w:t>地使用权出让合同》（以下简称《出让合同》），在竞得人按约定办理完新公司注册登记手续后，再与新公司签订《国有建设用地使用权出让合同变更协议》，也可按约定直接与新公司签订《出让合同》。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五、该宗地竞买保证金可用人民币及外币（暂限于美元、港币）支付。</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六、申请人应具备的其他条件：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（一）缴交竞买保证金45200万元人民币，如以外币缴交竞买保证金的，须缴交美元6687万元或港币51824万元。</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（二）竞得人在用地红线内开发建设必须符合城市规划要求，必须按《规划设计条件告知书》（案卷编号：PB20200095）规划控制指标要求及有关规定进行规划设计。</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LJL-47-21地块内的配套幼儿园用地，在办理用地供地手续时，应将整个地块办理出让手续，在出让合同中明确由LJL-47-21地块使用权人按照规划要求和惠城区教育局提出的建设标准完成配套幼儿园建设并无偿移交，不动产登记部门在办理分割登记时，将幼儿园办至惠城区教育局名下。幼儿园应与项目同步规划、同步建设、同步实施，LJL-47-21地块如分期建设，幼儿园须纳入首期工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LJL-47-20地块50027㎡九年一贯制学校用地同步无偿划拨给惠城区教育局，用途为教育用地，由取得LJL-47-21地块使用权者负责建设，并无偿移交给惠城区教育局，学校操场下须配建社会公共停车位不少于420个，建成后移交市交通投资集团有限公司管理。</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（五）取得LJL-47-21地块土地使用权人应按照《告知书》的规划要求配建相应的配套设施。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1、存在伪造公文骗取用地和非法倒卖土地等犯罪行为的；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2、存在非法转让土地使用权等违法行为的；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3、因企业原因造成土地闲置一年以上且至报名日止未处罚完结的；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5、至报名日止仍拖欠政府地价款的;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6、被列入问题楼盘开发企业黑名单的;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7、存在其它被禁止竞买土地行为的。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七、本次国有建设用地使用权网上挂牌出让为无底价挂牌出让，按照价高者得的原则确定竞得人。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bookmarkStart w:id="0" w:name="_GoBack"/>
      <w:bookmarkEnd w:id="0"/>
      <w:r>
        <w:rPr>
          <w:rFonts w:hint="eastAsia"/>
          <w:lang w:val="en-US" w:eastAsia="zh-CN"/>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九、有意竞买者可以自行到地块现场踏勘（可在网上挂牌交易系统查阅位置图和现状图）。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十、申请人应当在网上挂牌出让结束前登陆惠州市公共资源交易中心土地与矿业网上挂牌交易系统并在系统上向惠州市公共资源交易中心提交竞买申请并支付保证金。网上挂牌保证金到账截止时间为2020年11月3日上午9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十二、竞得人签订《成交确认书》后，缴交的保证金中按成交价的10%转作定金，竞得人签订《出让合同》后，定金转作土地出让价款。</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保证金少于成交价10%的，不足部分由竞得人在签订《成交确认书》之日起5个工作日内付清。</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十三、其它需要公告的事项</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（一）开发投资总额不少于360100万元（含地价，不含地价溢价部分）。</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（二）土地成交价款须以人民币支付，竞得人须在签订《出让合同》之日起一个月内缴清土地成交价款。</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1、不符合竞买资格条件的；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2、采取行贿、恶意串通等非法手段竞得的；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3、竞得人以其他非法手段竞得的；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4、竞得人逾期或拒绝签订《成交确认书》的；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5、竞得人逾期或拒绝签订《出让合同》的；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7、构成违约责任的其他行为。</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（五）挂牌出让价款不含应由竞得人缴纳的契税、印花税等有关费用。</w:t>
      </w:r>
    </w:p>
    <w:p>
      <w:pPr>
        <w:spacing w:line="520" w:lineRule="exact"/>
        <w:ind w:firstLine="555"/>
        <w:rPr>
          <w:rFonts w:hint="eastAsia"/>
          <w:lang w:val="en-US" w:eastAsia="zh-CN"/>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十五、联系方式：</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cs="仿宋_GB2312"/>
          <w:sz w:val="32"/>
          <w:szCs w:val="32"/>
          <w:lang w:val="en-US" w:eastAsia="zh-CN"/>
        </w:rPr>
        <w:t>彭先生</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31</w:t>
      </w:r>
      <w:r>
        <w:rPr>
          <w:rFonts w:hint="eastAsia" w:ascii="仿宋_GB2312" w:hAnsi="仿宋_GB2312" w:cs="仿宋_GB2312"/>
          <w:sz w:val="32"/>
          <w:szCs w:val="32"/>
          <w:lang w:val="en-US" w:eastAsia="zh-CN"/>
        </w:rPr>
        <w:t>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adjustRightInd/>
        <w:snapToGrid/>
        <w:ind w:left="612" w:leftChars="200" w:firstLine="0" w:firstLineChars="0"/>
        <w:textAlignment w:val="auto"/>
        <w:rPr>
          <w:rFonts w:hint="eastAsia"/>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r>
        <w:rPr>
          <w:rFonts w:hint="eastAsia" w:ascii="仿宋_GB2312" w:hAnsi="仿宋_GB2312" w:eastAsia="仿宋_GB2312" w:cs="仿宋_GB2312"/>
          <w:sz w:val="32"/>
          <w:szCs w:val="32"/>
        </w:rPr>
        <w:br w:type="textWrapping"/>
      </w:r>
      <w:r>
        <w:rPr>
          <w:rFonts w:hint="eastAsia"/>
          <w:lang w:val="en-US" w:eastAsia="zh-CN"/>
        </w:rPr>
        <w:t>注：本公告同时在下列网站及场所发布</w:t>
      </w:r>
    </w:p>
    <w:p>
      <w:pPr>
        <w:keepNext w:val="0"/>
        <w:keepLines w:val="0"/>
        <w:pageBreakBefore w:val="0"/>
        <w:widowControl w:val="0"/>
        <w:kinsoku/>
        <w:wordWrap/>
        <w:overflowPunct/>
        <w:topLinePunct w:val="0"/>
        <w:autoSpaceDE/>
        <w:autoSpaceDN/>
        <w:bidi w:val="0"/>
        <w:adjustRightInd/>
        <w:snapToGrid/>
        <w:ind w:left="612" w:leftChars="200" w:firstLine="0" w:firstLineChars="0"/>
        <w:textAlignment w:val="auto"/>
        <w:rPr>
          <w:rFonts w:hint="eastAsia" w:ascii="仿宋_GB2312" w:hAnsi="仿宋_GB2312" w:eastAsia="仿宋_GB2312" w:cs="仿宋_GB2312"/>
          <w:sz w:val="32"/>
          <w:szCs w:val="32"/>
          <w:lang w:val="en-US" w:eastAsia="zh-CN"/>
        </w:rPr>
      </w:pPr>
      <w:r>
        <w:rPr>
          <w:rFonts w:hint="eastAsia"/>
          <w:lang w:val="en-US" w:eastAsia="zh-CN"/>
        </w:rPr>
        <w:t>中国土地市场网</w:t>
      </w:r>
      <w:r>
        <w:rPr>
          <w:rFonts w:hint="eastAsia" w:ascii="仿宋_GB2312" w:hAnsi="仿宋_GB2312" w:eastAsia="仿宋_GB2312" w:cs="仿宋_GB2312"/>
          <w:sz w:val="32"/>
          <w:szCs w:val="32"/>
          <w:lang w:val="en-US" w:eastAsia="zh-CN"/>
        </w:rPr>
        <w:t>：http://www.landchina.com</w:t>
      </w:r>
    </w:p>
    <w:p>
      <w:pPr>
        <w:keepNext w:val="0"/>
        <w:keepLines w:val="0"/>
        <w:pageBreakBefore w:val="0"/>
        <w:widowControl w:val="0"/>
        <w:kinsoku/>
        <w:wordWrap/>
        <w:overflowPunct/>
        <w:topLinePunct w:val="0"/>
        <w:autoSpaceDE/>
        <w:autoSpaceDN/>
        <w:bidi w:val="0"/>
        <w:adjustRightInd/>
        <w:snapToGrid/>
        <w:ind w:left="612" w:leftChars="20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广东省土地市场网：http://www.landgd.com</w:t>
      </w:r>
    </w:p>
    <w:p>
      <w:pPr>
        <w:keepNext w:val="0"/>
        <w:keepLines w:val="0"/>
        <w:pageBreakBefore w:val="0"/>
        <w:widowControl w:val="0"/>
        <w:kinsoku/>
        <w:wordWrap/>
        <w:overflowPunct/>
        <w:topLinePunct w:val="0"/>
        <w:autoSpaceDE/>
        <w:autoSpaceDN/>
        <w:bidi w:val="0"/>
        <w:adjustRightInd/>
        <w:snapToGrid/>
        <w:ind w:left="612" w:leftChars="20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惠州市自然资源局网站：http://land.huizhou.gov.cn</w:t>
      </w:r>
    </w:p>
    <w:p>
      <w:pPr>
        <w:keepNext w:val="0"/>
        <w:keepLines w:val="0"/>
        <w:pageBreakBefore w:val="0"/>
        <w:widowControl w:val="0"/>
        <w:kinsoku/>
        <w:wordWrap/>
        <w:overflowPunct/>
        <w:topLinePunct w:val="0"/>
        <w:autoSpaceDE/>
        <w:autoSpaceDN/>
        <w:bidi w:val="0"/>
        <w:adjustRightInd/>
        <w:snapToGrid/>
        <w:ind w:left="612" w:leftChars="20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惠州市公共资源交易中心网：http://zyjy.huizhou.gov.cn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惠州市公共资源交易中心交易大厅现场。</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惠州日报。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数字证书办理地址：惠州市江北云山西路二号帝景国际商务中心七层18-22房</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联系电话：0752-2898481</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508" w:firstLineChars="1800"/>
        <w:rPr>
          <w:rFonts w:hint="eastAsia"/>
          <w:lang w:val="en-US" w:eastAsia="zh-CN"/>
        </w:rPr>
      </w:pPr>
      <w:r>
        <w:rPr>
          <w:rFonts w:hint="eastAsia"/>
          <w:lang w:val="en-US" w:eastAsia="zh-CN"/>
        </w:rPr>
        <w:t>惠州市自然资源局</w:t>
      </w:r>
    </w:p>
    <w:p>
      <w:pPr>
        <w:bidi w:val="0"/>
        <w:ind w:firstLine="5202" w:firstLineChars="1700"/>
        <w:rPr>
          <w:rFonts w:hint="eastAsia"/>
          <w:lang w:val="en-US" w:eastAsia="zh-CN"/>
        </w:rPr>
      </w:pPr>
      <w:r>
        <w:rPr>
          <w:rFonts w:hint="eastAsia"/>
          <w:lang w:val="en-US" w:eastAsia="zh-CN"/>
        </w:rPr>
        <w:t xml:space="preserve">惠州市公共资源交易中心     </w:t>
      </w:r>
    </w:p>
    <w:p>
      <w:pPr>
        <w:bidi w:val="0"/>
        <w:ind w:firstLine="5508" w:firstLineChars="1800"/>
        <w:rPr>
          <w:rFonts w:hint="default"/>
          <w:lang w:val="en-US" w:eastAsia="zh-CN"/>
        </w:rPr>
      </w:pPr>
      <w:r>
        <w:rPr>
          <w:rFonts w:hint="eastAsia"/>
          <w:lang w:val="en-US" w:eastAsia="zh-CN"/>
        </w:rPr>
        <w:t>2020年9月29日</w:t>
      </w: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附表</w:t>
      </w:r>
    </w:p>
    <w:p>
      <w:pPr>
        <w:keepNext w:val="0"/>
        <w:keepLines w:val="0"/>
        <w:pageBreakBefore w:val="0"/>
        <w:widowControl w:val="0"/>
        <w:tabs>
          <w:tab w:val="left" w:pos="9720"/>
        </w:tabs>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3"/>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660"/>
        <w:gridCol w:w="720"/>
        <w:gridCol w:w="585"/>
        <w:gridCol w:w="915"/>
        <w:gridCol w:w="945"/>
        <w:gridCol w:w="705"/>
        <w:gridCol w:w="630"/>
        <w:gridCol w:w="1310"/>
        <w:gridCol w:w="948"/>
        <w:gridCol w:w="780"/>
        <w:gridCol w:w="96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74"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挂牌地块编号</w:t>
            </w:r>
          </w:p>
        </w:tc>
        <w:tc>
          <w:tcPr>
            <w:tcW w:w="660"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位置</w:t>
            </w:r>
          </w:p>
        </w:tc>
        <w:tc>
          <w:tcPr>
            <w:tcW w:w="720"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规划编号</w:t>
            </w:r>
          </w:p>
        </w:tc>
        <w:tc>
          <w:tcPr>
            <w:tcW w:w="585"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w:t>
            </w:r>
          </w:p>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用途</w:t>
            </w:r>
          </w:p>
        </w:tc>
        <w:tc>
          <w:tcPr>
            <w:tcW w:w="915"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宗地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使用权面积（㎡）</w:t>
            </w:r>
          </w:p>
        </w:tc>
        <w:tc>
          <w:tcPr>
            <w:tcW w:w="6278" w:type="dxa"/>
            <w:gridSpan w:val="7"/>
            <w:vAlign w:val="center"/>
          </w:tcPr>
          <w:p>
            <w:pPr>
              <w:keepNext w:val="0"/>
              <w:keepLines w:val="0"/>
              <w:pageBreakBefore w:val="0"/>
              <w:widowControl w:val="0"/>
              <w:kinsoku/>
              <w:wordWrap/>
              <w:overflowPunct/>
              <w:topLinePunct w:val="0"/>
              <w:bidi w:val="0"/>
              <w:adjustRightInd w:val="0"/>
              <w:snapToGrid w:val="0"/>
              <w:spacing w:line="240" w:lineRule="exact"/>
              <w:ind w:left="-272" w:leftChars="-89"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规划指标要求</w:t>
            </w:r>
          </w:p>
        </w:tc>
        <w:tc>
          <w:tcPr>
            <w:tcW w:w="948" w:type="dxa"/>
            <w:vMerge w:val="restart"/>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874"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660"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720"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585"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915"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945"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计算</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指标</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用地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面积（㎡）</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建筑密度</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w:t>
            </w:r>
          </w:p>
        </w:tc>
        <w:tc>
          <w:tcPr>
            <w:tcW w:w="630"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容</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积</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率</w:t>
            </w:r>
          </w:p>
        </w:tc>
        <w:tc>
          <w:tcPr>
            <w:tcW w:w="1310" w:type="dxa"/>
            <w:vAlign w:val="center"/>
          </w:tcPr>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计容积率建筑面积（㎡）</w:t>
            </w:r>
          </w:p>
        </w:tc>
        <w:tc>
          <w:tcPr>
            <w:tcW w:w="948"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16"/>
              </w:rPr>
              <w:t>机动车停车位配建标准</w:t>
            </w:r>
          </w:p>
        </w:tc>
        <w:tc>
          <w:tcPr>
            <w:tcW w:w="780"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绿地率</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w:t>
            </w:r>
          </w:p>
        </w:tc>
        <w:tc>
          <w:tcPr>
            <w:tcW w:w="960" w:type="dxa"/>
            <w:vAlign w:val="center"/>
          </w:tcPr>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16"/>
              </w:rPr>
              <w:t>适建性</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948"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5" w:hRule="atLeast"/>
          <w:jc w:val="center"/>
        </w:trPr>
        <w:tc>
          <w:tcPr>
            <w:tcW w:w="874"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GP2020</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-34</w:t>
            </w:r>
          </w:p>
        </w:tc>
        <w:tc>
          <w:tcPr>
            <w:tcW w:w="660"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lang w:eastAsia="zh-CN"/>
              </w:rPr>
            </w:pPr>
            <w:r>
              <w:rPr>
                <w:rFonts w:hint="eastAsia" w:ascii="仿宋_GB2312" w:hAnsi="仿宋_GB2312" w:cs="仿宋_GB2312"/>
                <w:b w:val="0"/>
                <w:bCs w:val="0"/>
                <w:color w:val="000000"/>
                <w:sz w:val="22"/>
                <w:szCs w:val="16"/>
                <w:lang w:val="en-US" w:eastAsia="zh-CN"/>
              </w:rPr>
              <w:t>惠州市惠城区</w:t>
            </w:r>
            <w:r>
              <w:rPr>
                <w:rFonts w:hint="eastAsia" w:ascii="仿宋_GB2312" w:hAnsi="仿宋_GB2312" w:cs="仿宋_GB2312"/>
                <w:b w:val="0"/>
                <w:bCs w:val="0"/>
                <w:color w:val="000000"/>
                <w:sz w:val="22"/>
                <w:szCs w:val="16"/>
                <w:lang w:eastAsia="zh-CN"/>
              </w:rPr>
              <w:t>鹿江沥南岸</w:t>
            </w:r>
          </w:p>
        </w:tc>
        <w:tc>
          <w:tcPr>
            <w:tcW w:w="720"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LJL-47-21</w:t>
            </w:r>
          </w:p>
        </w:tc>
        <w:tc>
          <w:tcPr>
            <w:tcW w:w="585"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住</w:t>
            </w:r>
            <w:r>
              <w:rPr>
                <w:rFonts w:hint="eastAsia" w:ascii="仿宋_GB2312" w:hAnsi="仿宋_GB2312" w:cs="仿宋_GB2312"/>
                <w:b w:val="0"/>
                <w:bCs w:val="0"/>
                <w:sz w:val="22"/>
                <w:szCs w:val="16"/>
                <w:lang w:val="en-US" w:eastAsia="zh-CN"/>
              </w:rPr>
              <w:t>宅、商服</w:t>
            </w:r>
            <w:r>
              <w:rPr>
                <w:rFonts w:hint="eastAsia" w:ascii="仿宋_GB2312" w:hAnsi="仿宋_GB2312" w:eastAsia="仿宋_GB2312" w:cs="仿宋_GB2312"/>
                <w:b w:val="0"/>
                <w:bCs w:val="0"/>
                <w:sz w:val="22"/>
                <w:szCs w:val="16"/>
              </w:rPr>
              <w:t>用地</w:t>
            </w:r>
          </w:p>
        </w:tc>
        <w:tc>
          <w:tcPr>
            <w:tcW w:w="915"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106237.26</w:t>
            </w:r>
          </w:p>
        </w:tc>
        <w:tc>
          <w:tcPr>
            <w:tcW w:w="945"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125002.38</w:t>
            </w:r>
          </w:p>
        </w:tc>
        <w:tc>
          <w:tcPr>
            <w:tcW w:w="705"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≤30%（住宅建筑密度≤22%）</w:t>
            </w:r>
          </w:p>
        </w:tc>
        <w:tc>
          <w:tcPr>
            <w:tcW w:w="630"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lang w:val="en-US" w:eastAsia="zh-CN"/>
              </w:rPr>
            </w:pPr>
            <w:r>
              <w:rPr>
                <w:rFonts w:hint="eastAsia" w:ascii="仿宋_GB2312" w:hAnsi="仿宋_GB2312" w:eastAsia="仿宋_GB2312" w:cs="仿宋_GB2312"/>
                <w:b w:val="0"/>
                <w:bCs w:val="0"/>
                <w:sz w:val="22"/>
                <w:szCs w:val="16"/>
              </w:rPr>
              <w:t>≤3.</w:t>
            </w:r>
            <w:r>
              <w:rPr>
                <w:rFonts w:hint="eastAsia" w:ascii="仿宋_GB2312" w:hAnsi="仿宋_GB2312" w:cs="仿宋_GB2312"/>
                <w:b w:val="0"/>
                <w:bCs w:val="0"/>
                <w:sz w:val="22"/>
                <w:szCs w:val="16"/>
                <w:lang w:val="en-US" w:eastAsia="zh-CN"/>
              </w:rPr>
              <w:t>1</w:t>
            </w:r>
          </w:p>
        </w:tc>
        <w:tc>
          <w:tcPr>
            <w:tcW w:w="1310"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color w:val="000000"/>
                <w:sz w:val="22"/>
                <w:szCs w:val="16"/>
                <w:lang w:val="en-US" w:eastAsia="zh-CN"/>
              </w:rPr>
            </w:pPr>
            <w:r>
              <w:rPr>
                <w:rFonts w:hint="eastAsia" w:ascii="仿宋_GB2312" w:hAnsi="仿宋_GB2312" w:eastAsia="仿宋_GB2312" w:cs="仿宋_GB2312"/>
                <w:b w:val="0"/>
                <w:bCs w:val="0"/>
                <w:color w:val="000000"/>
                <w:sz w:val="22"/>
                <w:szCs w:val="16"/>
              </w:rPr>
              <w:t>≤38750</w:t>
            </w:r>
            <w:r>
              <w:rPr>
                <w:rFonts w:hint="eastAsia" w:ascii="仿宋_GB2312" w:hAnsi="仿宋_GB2312" w:cs="仿宋_GB2312"/>
                <w:b w:val="0"/>
                <w:bCs w:val="0"/>
                <w:color w:val="000000"/>
                <w:sz w:val="22"/>
                <w:szCs w:val="16"/>
                <w:lang w:val="en-US" w:eastAsia="zh-CN"/>
              </w:rPr>
              <w:t>6</w:t>
            </w:r>
          </w:p>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(其中：商业建筑面积≤5%，配套设施建筑面积≥7140)</w:t>
            </w:r>
          </w:p>
        </w:tc>
        <w:tc>
          <w:tcPr>
            <w:tcW w:w="948"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每100㎡计容积率建筑面积≥1个</w:t>
            </w:r>
          </w:p>
        </w:tc>
        <w:tc>
          <w:tcPr>
            <w:tcW w:w="780"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w:t>
            </w:r>
            <w:r>
              <w:rPr>
                <w:rFonts w:hint="eastAsia" w:ascii="仿宋_GB2312" w:hAnsi="仿宋_GB2312" w:eastAsia="仿宋_GB2312" w:cs="仿宋_GB2312"/>
                <w:b w:val="0"/>
                <w:bCs w:val="0"/>
                <w:sz w:val="22"/>
                <w:szCs w:val="16"/>
              </w:rPr>
              <w:t>35</w:t>
            </w:r>
          </w:p>
        </w:tc>
        <w:tc>
          <w:tcPr>
            <w:tcW w:w="960"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住宅和</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商业</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及配套</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设施</w:t>
            </w:r>
          </w:p>
        </w:tc>
        <w:tc>
          <w:tcPr>
            <w:tcW w:w="948"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cs="仿宋_GB2312"/>
                <w:b w:val="0"/>
                <w:bCs w:val="0"/>
                <w:color w:val="000000"/>
                <w:sz w:val="22"/>
                <w:szCs w:val="16"/>
                <w:lang w:eastAsia="zh-CN"/>
              </w:rPr>
            </w:pPr>
            <w:r>
              <w:rPr>
                <w:rFonts w:hint="eastAsia" w:ascii="仿宋_GB2312" w:hAnsi="仿宋_GB2312" w:cs="仿宋_GB2312"/>
                <w:b w:val="0"/>
                <w:bCs w:val="0"/>
                <w:color w:val="000000"/>
                <w:sz w:val="22"/>
                <w:szCs w:val="16"/>
                <w:lang w:eastAsia="zh-CN"/>
              </w:rPr>
              <w:t>城镇</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cs="仿宋_GB2312"/>
                <w:b w:val="0"/>
                <w:bCs w:val="0"/>
                <w:color w:val="000000"/>
                <w:sz w:val="22"/>
                <w:szCs w:val="16"/>
                <w:lang w:eastAsia="zh-CN"/>
              </w:rPr>
            </w:pPr>
            <w:r>
              <w:rPr>
                <w:rFonts w:hint="eastAsia" w:ascii="仿宋_GB2312" w:hAnsi="仿宋_GB2312" w:cs="仿宋_GB2312"/>
                <w:b w:val="0"/>
                <w:bCs w:val="0"/>
                <w:color w:val="000000"/>
                <w:sz w:val="22"/>
                <w:szCs w:val="16"/>
                <w:lang w:eastAsia="zh-CN"/>
              </w:rPr>
              <w:t>住宅</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cs="仿宋_GB2312"/>
                <w:b w:val="0"/>
                <w:bCs w:val="0"/>
                <w:color w:val="000000"/>
                <w:sz w:val="22"/>
                <w:szCs w:val="16"/>
                <w:lang w:eastAsia="zh-CN"/>
              </w:rPr>
            </w:pPr>
            <w:r>
              <w:rPr>
                <w:rFonts w:hint="eastAsia" w:ascii="仿宋_GB2312" w:hAnsi="仿宋_GB2312" w:cs="仿宋_GB2312"/>
                <w:b w:val="0"/>
                <w:bCs w:val="0"/>
                <w:color w:val="000000"/>
                <w:sz w:val="22"/>
                <w:szCs w:val="16"/>
                <w:lang w:eastAsia="zh-CN"/>
              </w:rPr>
              <w:t>用地</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70年；</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商服</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lang w:eastAsia="zh-CN"/>
              </w:rPr>
            </w:pPr>
            <w:r>
              <w:rPr>
                <w:rFonts w:hint="eastAsia" w:ascii="仿宋_GB2312" w:hAnsi="仿宋_GB2312" w:cs="仿宋_GB2312"/>
                <w:b w:val="0"/>
                <w:bCs w:val="0"/>
                <w:color w:val="000000"/>
                <w:sz w:val="22"/>
                <w:szCs w:val="16"/>
                <w:lang w:eastAsia="zh-CN"/>
              </w:rPr>
              <w:t>用地</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40年。</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p>
    <w:p/>
    <w:sectPr>
      <w:footerReference r:id="rId3" w:type="default"/>
      <w:pgSz w:w="11906" w:h="16838"/>
      <w:pgMar w:top="1440" w:right="1474" w:bottom="1440" w:left="1587" w:header="851" w:footer="737" w:gutter="0"/>
      <w:pgNumType w:fmt="numberInDash"/>
      <w:cols w:space="0" w:num="1"/>
      <w:rtlGutter w:val="0"/>
      <w:docGrid w:type="linesAndChars" w:linePitch="436"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ind w:left="0" w:leftChars="0" w:firstLine="0" w:firstLineChars="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516BA"/>
    <w:rsid w:val="06305B16"/>
    <w:rsid w:val="0D0B2946"/>
    <w:rsid w:val="130B503C"/>
    <w:rsid w:val="147A2732"/>
    <w:rsid w:val="18A17F35"/>
    <w:rsid w:val="1ACF39F2"/>
    <w:rsid w:val="231C42FC"/>
    <w:rsid w:val="258516BA"/>
    <w:rsid w:val="26B63627"/>
    <w:rsid w:val="277C5B35"/>
    <w:rsid w:val="31537079"/>
    <w:rsid w:val="4B503237"/>
    <w:rsid w:val="529C1D12"/>
    <w:rsid w:val="77D76838"/>
    <w:rsid w:val="7D2F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公文标题"/>
    <w:next w:val="1"/>
    <w:qFormat/>
    <w:uiPriority w:val="0"/>
    <w:pPr>
      <w:spacing w:line="700" w:lineRule="exact"/>
      <w:ind w:firstLine="0" w:firstLineChars="0"/>
      <w:jc w:val="center"/>
    </w:pPr>
    <w:rPr>
      <w:rFonts w:ascii="Calibri" w:hAnsi="Calibri" w:eastAsia="方正小标宋_GBK" w:cstheme="minorBidi"/>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2020-09-29T06:47:00Z</dcterms:created>
  <dc:creator>黄春枚</dc:creator>
  <cp:lastModifiedBy>黄春枚</cp:lastModifiedBy>
  <cp:lastPrinted>2020-09-29T07:32:00Z</cp:lastPrinted>
  <dcterms:modified xsi:type="dcterms:W3CDTF">2020-09-30T00:42:28Z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