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hAnsi="仿宋_GB2312" w:eastAsia="仿宋_GB2312" w:cs="仿宋_GB2312"/>
          <w:sz w:val="32"/>
        </w:rPr>
      </w:pPr>
      <w:r>
        <w:rPr>
          <w:rFonts w:hint="eastAsia" w:ascii="仿宋_GB2312" w:hAnsi="仿宋_GB2312" w:eastAsia="仿宋_GB2312" w:cs="仿宋_GB2312"/>
          <w:sz w:val="32"/>
        </w:rPr>
        <w:t>惠公易土市直[20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]0</w:t>
      </w:r>
      <w:r>
        <w:rPr>
          <w:rFonts w:hint="eastAsia" w:ascii="仿宋_GB2312" w:hAnsi="仿宋_GB2312" w:eastAsia="仿宋_GB2312" w:cs="仿宋_GB2312"/>
          <w:sz w:val="32"/>
          <w:lang w:val="en-US" w:eastAsia="zh-CN"/>
        </w:rPr>
        <w:t>16</w:t>
      </w:r>
      <w:r>
        <w:rPr>
          <w:rFonts w:hint="eastAsia" w:ascii="仿宋_GB2312" w:hAnsi="仿宋_GB2312" w:eastAsia="仿宋_GB2312" w:cs="仿宋_GB2312"/>
          <w:sz w:val="32"/>
        </w:rPr>
        <w:t>号</w:t>
      </w:r>
    </w:p>
    <w:p>
      <w:pPr>
        <w:spacing w:line="520" w:lineRule="exact"/>
        <w:ind w:firstLine="360" w:firstLineChars="200"/>
        <w:rPr>
          <w:rFonts w:hint="eastAsia" w:ascii="仿宋_GB2312" w:eastAsia="仿宋_GB2312"/>
          <w:sz w:val="18"/>
          <w:szCs w:val="18"/>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default" w:ascii="仿宋_GB2312" w:hAnsi="仿宋_GB2312" w:eastAsia="仿宋_GB2312" w:cs="仿宋_GB2312"/>
          <w:sz w:val="32"/>
          <w:szCs w:val="32"/>
          <w:lang w:val="en-US"/>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default" w:ascii="仿宋_GB2312" w:hAnsi="仿宋_GB2312" w:eastAsia="仿宋_GB2312" w:cs="仿宋_GB2312"/>
          <w:sz w:val="32"/>
          <w:szCs w:val="32"/>
          <w:lang w:val="en-US"/>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 w:eastAsia="仿宋_GB2312"/>
          <w:color w:val="auto"/>
          <w:sz w:val="32"/>
          <w:szCs w:val="32"/>
          <w:lang w:val="en-US" w:eastAsia="zh-CN"/>
        </w:rPr>
        <w:t>585</w:t>
      </w:r>
      <w:r>
        <w:rPr>
          <w:rFonts w:hint="eastAsia" w:ascii="仿宋_GB2312" w:hAnsi="仿宋_GB2312" w:eastAsia="仿宋_GB2312" w:cs="仿宋_GB2312"/>
          <w:sz w:val="32"/>
          <w:szCs w:val="32"/>
        </w:rPr>
        <w:t>万元,每次报价加价幅度为人民币10万元的整数倍。</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四、中华人民共和国境内外的法人、自然人和其他组织（除法律法规另有规定外）均可申请参加竞买。申请人可以单独申请，也可以联合申请：</w:t>
      </w:r>
    </w:p>
    <w:p>
      <w:pPr>
        <w:pStyle w:val="2"/>
        <w:widowControl w:val="0"/>
        <w:spacing w:line="520" w:lineRule="exact"/>
        <w:jc w:val="both"/>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出让合同》，在竞得人按约定办理完新公司注册登记手续后，再与新公司签订《国有建设用地使用权出让合同变更协议》；也可按约定直接与新公司签订《出让合同》。</w:t>
      </w:r>
    </w:p>
    <w:p>
      <w:pPr>
        <w:pStyle w:val="2"/>
        <w:widowControl w:val="0"/>
        <w:spacing w:line="520" w:lineRule="exact"/>
        <w:jc w:val="both"/>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2"/>
        <w:widowControl w:val="0"/>
        <w:spacing w:line="520" w:lineRule="exact"/>
        <w:jc w:val="both"/>
        <w:rPr>
          <w:rFonts w:hint="eastAsia" w:hAnsi="仿宋_GB2312" w:cs="仿宋_GB2312"/>
          <w:szCs w:val="32"/>
        </w:rPr>
      </w:pPr>
      <w:r>
        <w:rPr>
          <w:rFonts w:hint="eastAsia" w:hAnsi="仿宋_GB2312" w:cs="仿宋_GB2312"/>
          <w:szCs w:val="32"/>
        </w:rPr>
        <w:t>五、该宗地竞买保证金可用人民币及外币（暂限于美元、港币）支付。</w:t>
      </w:r>
    </w:p>
    <w:p>
      <w:pPr>
        <w:pStyle w:val="2"/>
        <w:widowControl w:val="0"/>
        <w:spacing w:before="0" w:line="520" w:lineRule="exact"/>
        <w:jc w:val="both"/>
        <w:rPr>
          <w:rFonts w:hAnsi="仿宋_GB2312" w:cs="仿宋_GB2312"/>
          <w:szCs w:val="32"/>
        </w:rPr>
      </w:pPr>
      <w:r>
        <w:rPr>
          <w:rFonts w:hint="eastAsia" w:hAnsi="仿宋_GB2312" w:cs="仿宋_GB2312"/>
          <w:szCs w:val="32"/>
        </w:rPr>
        <w:t>六、申请人应具备的其他条件：</w:t>
      </w:r>
    </w:p>
    <w:p>
      <w:pPr>
        <w:pStyle w:val="2"/>
        <w:widowControl w:val="0"/>
        <w:spacing w:line="520" w:lineRule="exact"/>
        <w:jc w:val="both"/>
        <w:rPr>
          <w:rFonts w:hint="eastAsia" w:hAnsi="仿宋_GB2312" w:cs="仿宋_GB2312"/>
          <w:szCs w:val="32"/>
          <w:lang w:eastAsia="zh-CN"/>
        </w:rPr>
      </w:pPr>
      <w:r>
        <w:rPr>
          <w:rFonts w:hint="eastAsia" w:hAnsi="仿宋_GB2312" w:cs="仿宋_GB2312"/>
          <w:szCs w:val="32"/>
          <w:lang w:eastAsia="zh-CN"/>
        </w:rPr>
        <w:t>（一）缴交竞买保证金</w:t>
      </w:r>
      <w:r>
        <w:rPr>
          <w:rFonts w:hint="eastAsia" w:hAnsi="仿宋_GB2312" w:cs="仿宋_GB2312"/>
          <w:color w:val="auto"/>
          <w:szCs w:val="32"/>
          <w:lang w:val="en-US" w:eastAsia="zh-CN"/>
        </w:rPr>
        <w:t>176</w:t>
      </w:r>
      <w:r>
        <w:rPr>
          <w:rFonts w:hint="eastAsia" w:hAnsi="仿宋_GB2312" w:cs="仿宋_GB2312"/>
          <w:color w:val="auto"/>
          <w:szCs w:val="32"/>
          <w:lang w:eastAsia="zh-CN"/>
        </w:rPr>
        <w:t>万元人民币，如以外币缴交竞买保证金的，须缴交美元</w:t>
      </w:r>
      <w:r>
        <w:rPr>
          <w:rFonts w:hint="eastAsia" w:ascii="仿宋_GB2312" w:hAnsi="仿宋" w:eastAsia="仿宋_GB2312"/>
          <w:kern w:val="2"/>
          <w:sz w:val="32"/>
          <w:szCs w:val="32"/>
          <w:lang w:val="en-US" w:eastAsia="zh-CN"/>
        </w:rPr>
        <w:t>25</w:t>
      </w:r>
      <w:r>
        <w:rPr>
          <w:rFonts w:hint="eastAsia" w:hAnsi="仿宋_GB2312" w:cs="仿宋_GB2312"/>
          <w:color w:val="auto"/>
          <w:szCs w:val="32"/>
          <w:lang w:eastAsia="zh-CN"/>
        </w:rPr>
        <w:t>万元或港币</w:t>
      </w:r>
      <w:r>
        <w:rPr>
          <w:rFonts w:hint="eastAsia" w:hAnsi="仿宋_GB2312" w:cs="仿宋_GB2312"/>
          <w:color w:val="auto"/>
          <w:szCs w:val="32"/>
          <w:lang w:val="en-US" w:eastAsia="zh-CN"/>
        </w:rPr>
        <w:t>195</w:t>
      </w:r>
      <w:r>
        <w:rPr>
          <w:rFonts w:hint="eastAsia" w:hAnsi="仿宋_GB2312" w:cs="仿宋_GB2312"/>
          <w:color w:val="auto"/>
          <w:szCs w:val="32"/>
          <w:lang w:eastAsia="zh-CN"/>
        </w:rPr>
        <w:t>万元</w:t>
      </w:r>
      <w:r>
        <w:rPr>
          <w:rFonts w:hint="eastAsia" w:hAnsi="仿宋_GB2312" w:cs="仿宋_GB2312"/>
          <w:szCs w:val="32"/>
          <w:lang w:eastAsia="zh-CN"/>
        </w:rPr>
        <w:t>。</w:t>
      </w:r>
    </w:p>
    <w:p>
      <w:pPr>
        <w:pStyle w:val="2"/>
        <w:widowControl w:val="0"/>
        <w:spacing w:line="520" w:lineRule="exact"/>
        <w:jc w:val="both"/>
        <w:rPr>
          <w:rFonts w:hint="eastAsia" w:hAnsi="仿宋_GB2312" w:cs="仿宋_GB2312"/>
          <w:szCs w:val="32"/>
        </w:rPr>
      </w:pPr>
      <w:r>
        <w:rPr>
          <w:rFonts w:hint="eastAsia" w:hAnsi="仿宋_GB2312" w:cs="仿宋_GB2312"/>
          <w:szCs w:val="32"/>
          <w:lang w:eastAsia="zh-CN"/>
        </w:rPr>
        <w:t>（二）</w:t>
      </w:r>
      <w:r>
        <w:rPr>
          <w:rFonts w:hint="eastAsia" w:hAnsi="仿宋_GB2312" w:cs="仿宋_GB2312"/>
          <w:szCs w:val="32"/>
        </w:rPr>
        <w:t>存在下列违法违规违约行为之一的企业及其控股股东，不得参与竞买上述地块：</w:t>
      </w:r>
    </w:p>
    <w:p>
      <w:pPr>
        <w:pStyle w:val="2"/>
        <w:widowControl w:val="0"/>
        <w:spacing w:line="520" w:lineRule="exact"/>
        <w:jc w:val="both"/>
        <w:rPr>
          <w:rFonts w:hint="eastAsia" w:hAnsi="仿宋_GB2312" w:cs="仿宋_GB2312"/>
          <w:szCs w:val="32"/>
        </w:rPr>
      </w:pPr>
      <w:r>
        <w:rPr>
          <w:rFonts w:hint="eastAsia" w:hAnsi="仿宋_GB2312" w:cs="仿宋_GB2312"/>
          <w:szCs w:val="32"/>
        </w:rPr>
        <w:t>1、存在伪造公文骗取用地和非法倒卖土地等犯罪行为的；</w:t>
      </w:r>
    </w:p>
    <w:p>
      <w:pPr>
        <w:pStyle w:val="2"/>
        <w:widowControl w:val="0"/>
        <w:spacing w:line="520" w:lineRule="exact"/>
        <w:jc w:val="both"/>
        <w:rPr>
          <w:rFonts w:hint="eastAsia" w:hAnsi="仿宋_GB2312" w:cs="仿宋_GB2312"/>
          <w:szCs w:val="32"/>
        </w:rPr>
      </w:pPr>
      <w:r>
        <w:rPr>
          <w:rFonts w:hint="eastAsia" w:hAnsi="仿宋_GB2312" w:cs="仿宋_GB2312"/>
          <w:szCs w:val="32"/>
        </w:rPr>
        <w:t>2、存在非法转让土地使用权等违法行为的；</w:t>
      </w:r>
    </w:p>
    <w:p>
      <w:pPr>
        <w:pStyle w:val="2"/>
        <w:widowControl w:val="0"/>
        <w:spacing w:line="520" w:lineRule="exact"/>
        <w:jc w:val="both"/>
        <w:rPr>
          <w:rFonts w:hint="eastAsia" w:hAnsi="仿宋_GB2312" w:cs="仿宋_GB2312"/>
          <w:szCs w:val="32"/>
        </w:rPr>
      </w:pPr>
      <w:r>
        <w:rPr>
          <w:rFonts w:hint="eastAsia" w:hAnsi="仿宋_GB2312" w:cs="仿宋_GB2312"/>
          <w:szCs w:val="32"/>
        </w:rPr>
        <w:t>3、因企业原因造成土地闲置一年以上且至报名日止未处罚完结的；</w:t>
      </w:r>
    </w:p>
    <w:p>
      <w:pPr>
        <w:pStyle w:val="2"/>
        <w:widowControl w:val="0"/>
        <w:spacing w:line="520" w:lineRule="exact"/>
        <w:jc w:val="both"/>
        <w:rPr>
          <w:rFonts w:hint="eastAsia" w:hAnsi="仿宋_GB2312" w:cs="仿宋_GB2312"/>
          <w:szCs w:val="32"/>
        </w:rPr>
      </w:pPr>
      <w:r>
        <w:rPr>
          <w:rFonts w:hint="eastAsia" w:hAnsi="仿宋_GB2312" w:cs="仿宋_GB2312"/>
          <w:szCs w:val="32"/>
        </w:rPr>
        <w:t>4、开发建设企业有违背出让合同约定条件开发利用土地情形且至报名日止未处罚完结的；</w:t>
      </w:r>
    </w:p>
    <w:p>
      <w:pPr>
        <w:pStyle w:val="2"/>
        <w:widowControl w:val="0"/>
        <w:spacing w:line="520" w:lineRule="exact"/>
        <w:jc w:val="both"/>
        <w:rPr>
          <w:rFonts w:hint="eastAsia" w:hAnsi="仿宋_GB2312" w:cs="仿宋_GB2312"/>
          <w:szCs w:val="32"/>
        </w:rPr>
      </w:pPr>
      <w:r>
        <w:rPr>
          <w:rFonts w:hint="eastAsia" w:hAnsi="仿宋_GB2312" w:cs="仿宋_GB2312"/>
          <w:szCs w:val="32"/>
        </w:rPr>
        <w:t>5、至报名日止仍拖欠政府地价款的;</w:t>
      </w:r>
    </w:p>
    <w:p>
      <w:pPr>
        <w:pStyle w:val="2"/>
        <w:widowControl w:val="0"/>
        <w:spacing w:line="520" w:lineRule="exact"/>
        <w:jc w:val="both"/>
        <w:rPr>
          <w:rFonts w:hint="eastAsia" w:hAnsi="仿宋_GB2312" w:cs="仿宋_GB2312"/>
          <w:szCs w:val="32"/>
        </w:rPr>
      </w:pPr>
      <w:r>
        <w:rPr>
          <w:rFonts w:hint="eastAsia" w:hAnsi="仿宋_GB2312" w:cs="仿宋_GB2312"/>
          <w:szCs w:val="32"/>
        </w:rPr>
        <w:t>6、被列入问题楼盘开发企业黑名单的;</w:t>
      </w:r>
    </w:p>
    <w:p>
      <w:pPr>
        <w:pStyle w:val="2"/>
        <w:widowControl w:val="0"/>
        <w:spacing w:line="520" w:lineRule="exact"/>
        <w:jc w:val="both"/>
        <w:rPr>
          <w:rFonts w:hint="eastAsia" w:hAnsi="仿宋_GB2312" w:cs="仿宋_GB2312"/>
          <w:szCs w:val="32"/>
        </w:rPr>
      </w:pPr>
      <w:r>
        <w:rPr>
          <w:rFonts w:hint="eastAsia" w:hAnsi="仿宋_GB2312" w:cs="仿宋_GB2312"/>
          <w:szCs w:val="32"/>
        </w:rPr>
        <w:t>7、存在其它被禁止竞买土地行为的。</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七、本次国有建设用地使用权网上挂牌出让为无底价挂牌出让，按照价高者得的原则确定竞得人。</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次网上挂牌出让的详细资料和具体要求，见惠州市公共资源交易中心土地与矿业网上挂牌交易系统（www.hzgtjy.com）。申请人可在网上挂牌交易系统下载挂牌出让公告、须知及相关交易文件，并按上述文件规定的操作程序在网上参加竞买。</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九、有意竞买者可以自行到地块现场踏勘（可在网上挂牌交易系统查阅位置图和现状图）。</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default" w:ascii="仿宋_GB2312" w:hAnsi="仿宋_GB2312" w:eastAsia="仿宋_GB2312" w:cs="仿宋_GB2312"/>
          <w:sz w:val="32"/>
          <w:szCs w:val="32"/>
          <w:lang w:val="en-US"/>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十二、竞得人签订《成交确认书》后，缴交的保证金中按成交价的10%转作定金，竞得人签订《出让合同》后，定金转作土地出让价款。</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外币缴纳土地竞买保证金的，成交确认后，将在竞得人支付的外币保证金中扣除成交价款的10%（按成交当日汇率结汇）作为受让地块的定金，其余部分原路返回给竞得人，待竞得人按时缴清地价款后，再将定金退回。</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保证金少于成交价10%的，不足部分由竞得人在签订《成交确认书》之日起5个工作日内付清。</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十三、其它需要公告的事项</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 w:eastAsia="仿宋_GB2312"/>
          <w:color w:val="auto"/>
          <w:sz w:val="32"/>
          <w:szCs w:val="32"/>
          <w:lang w:val="en-US" w:eastAsia="zh-CN"/>
        </w:rPr>
        <w:t>1950</w:t>
      </w:r>
      <w:r>
        <w:rPr>
          <w:rFonts w:hint="eastAsia" w:ascii="仿宋_GB2312" w:hAnsi="仿宋_GB2312" w:eastAsia="仿宋_GB2312" w:cs="仿宋_GB2312"/>
          <w:sz w:val="32"/>
          <w:szCs w:val="32"/>
        </w:rPr>
        <w:t>万元（含地价,不含</w:t>
      </w:r>
      <w:r>
        <w:rPr>
          <w:rFonts w:ascii="仿宋_GB2312" w:hAnsi="仿宋_GB2312" w:eastAsia="仿宋_GB2312" w:cs="仿宋_GB2312"/>
          <w:sz w:val="32"/>
          <w:szCs w:val="32"/>
        </w:rPr>
        <w:t>地价溢价部分</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pStyle w:val="2"/>
        <w:widowControl w:val="0"/>
        <w:spacing w:line="520" w:lineRule="exact"/>
        <w:jc w:val="both"/>
        <w:rPr>
          <w:rFonts w:hint="eastAsia" w:hAnsi="仿宋_GB2312" w:cs="仿宋_GB2312"/>
          <w:szCs w:val="32"/>
          <w:lang w:eastAsia="zh-CN"/>
        </w:rPr>
      </w:pPr>
      <w:r>
        <w:rPr>
          <w:rFonts w:hint="eastAsia" w:hAnsi="仿宋_GB2312" w:cs="仿宋_GB2312"/>
          <w:szCs w:val="32"/>
          <w:lang w:val="en-US" w:eastAsia="zh-CN"/>
        </w:rPr>
        <w:t>（四）</w:t>
      </w:r>
      <w:r>
        <w:rPr>
          <w:rFonts w:hint="eastAsia" w:ascii="仿宋_GB2312" w:hAnsi="仿宋_GB2312" w:eastAsia="仿宋_GB2312" w:cs="仿宋_GB2312"/>
          <w:kern w:val="0"/>
          <w:sz w:val="32"/>
          <w:szCs w:val="32"/>
          <w:lang w:val="en-US" w:eastAsia="zh-CN" w:bidi="ar-SA"/>
        </w:rPr>
        <w:t>竞得人在用地红线内开发建设必须符合城市规划要求，必须按《关于尖峰山地区JFS-10-01-01地块中面积442.87平方米用地的规划要点（案卷编号：PB20200005）》规划控制指标要求及有关规定进行规划设计</w:t>
      </w:r>
      <w:r>
        <w:rPr>
          <w:rFonts w:hint="eastAsia" w:hAnsi="仿宋_GB2312" w:cs="仿宋_GB2312"/>
          <w:kern w:val="0"/>
          <w:sz w:val="32"/>
          <w:szCs w:val="32"/>
          <w:lang w:val="en-US" w:eastAsia="zh-CN" w:bidi="ar-SA"/>
        </w:rPr>
        <w:t>。</w:t>
      </w:r>
    </w:p>
    <w:p>
      <w:pPr>
        <w:pStyle w:val="2"/>
        <w:widowControl w:val="0"/>
        <w:spacing w:line="520" w:lineRule="exact"/>
        <w:jc w:val="both"/>
        <w:rPr>
          <w:rFonts w:hint="eastAsia" w:hAnsi="仿宋_GB2312" w:cs="仿宋_GB2312"/>
          <w:szCs w:val="32"/>
          <w:lang w:eastAsia="zh-CN"/>
        </w:rPr>
      </w:pPr>
      <w:r>
        <w:rPr>
          <w:rFonts w:hint="eastAsia" w:hAnsi="仿宋_GB2312" w:cs="仿宋_GB2312"/>
          <w:szCs w:val="32"/>
          <w:lang w:eastAsia="zh-CN"/>
        </w:rPr>
        <w:t>（五）</w:t>
      </w:r>
      <w:r>
        <w:rPr>
          <w:rFonts w:hint="eastAsia" w:ascii="仿宋_GB2312" w:hAnsi="仿宋" w:eastAsia="仿宋_GB2312" w:cs="Times New Roman"/>
          <w:kern w:val="2"/>
          <w:sz w:val="32"/>
          <w:szCs w:val="32"/>
        </w:rPr>
        <w:t>该用地不具备单独开发建设条件，应与相邻项目用地统一规划、统一设计、统一建设</w:t>
      </w:r>
      <w:r>
        <w:rPr>
          <w:rFonts w:hint="eastAsia" w:hAnsi="仿宋" w:cs="Times New Roman"/>
          <w:kern w:val="2"/>
          <w:sz w:val="32"/>
          <w:szCs w:val="32"/>
          <w:lang w:eastAsia="zh-CN"/>
        </w:rPr>
        <w:t>。</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）竞得人有下列行为之一的，视为违约，取消竞得人资格，没收保证金,并由有关部门依法处理;造成损失的，竞得人还应依法承担赔偿责任：</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）挂牌出让价款不含应由竞得人缴纳的契税、印花税等有关费用。</w:t>
      </w:r>
    </w:p>
    <w:p>
      <w:pPr>
        <w:spacing w:line="520" w:lineRule="exact"/>
        <w:ind w:firstLine="55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十四、该宗地使用网上挂牌方式出让，交易全程适用《惠州市国有建设用地使用权和矿业权电子挂牌交易规则》（惠府〔</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167号）。</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十五、联系方式：</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（一）惠州市自然资源局用地科</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地址：惠州市江北三新南路7号</w:t>
      </w:r>
    </w:p>
    <w:p>
      <w:pPr>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赵小姐</w:t>
      </w:r>
    </w:p>
    <w:p>
      <w:pPr>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联系电话：（0752）2896</w:t>
      </w:r>
      <w:r>
        <w:rPr>
          <w:rFonts w:hint="eastAsia" w:ascii="仿宋_GB2312" w:hAnsi="仿宋_GB2312" w:eastAsia="仿宋_GB2312" w:cs="仿宋_GB2312"/>
          <w:sz w:val="32"/>
          <w:szCs w:val="32"/>
          <w:lang w:val="en-US" w:eastAsia="zh-CN"/>
        </w:rPr>
        <w:t>286</w:t>
      </w:r>
    </w:p>
    <w:p>
      <w:pPr>
        <w:spacing w:line="520" w:lineRule="exact"/>
        <w:ind w:left="638" w:leftChars="304"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）惠州市公共资源交易中心土地矿业交易部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联系地址：广东省惠州市江北文华一路2号大隆大厦6楼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联系人：袁小姐、黄小姐</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联系电话：（0752）7121026、7121042</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spacing w:line="520" w:lineRule="exact"/>
        <w:ind w:firstLine="555"/>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惠州日报。</w:t>
      </w:r>
    </w:p>
    <w:p>
      <w:pPr>
        <w:spacing w:line="520" w:lineRule="exact"/>
        <w:ind w:left="487" w:leftChars="232"/>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惠州市江北云山西路二号帝景国际商务中心七层18-22房。</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spacing w:line="520" w:lineRule="exact"/>
        <w:ind w:right="640"/>
        <w:rPr>
          <w:rFonts w:hint="eastAsia" w:ascii="仿宋_GB2312" w:hAnsi="仿宋_GB2312" w:eastAsia="仿宋_GB2312" w:cs="仿宋_GB2312"/>
          <w:sz w:val="32"/>
          <w:szCs w:val="32"/>
        </w:rPr>
      </w:pPr>
    </w:p>
    <w:p>
      <w:pPr>
        <w:spacing w:line="520" w:lineRule="exact"/>
        <w:ind w:right="640" w:firstLine="5033" w:firstLineChars="1573"/>
        <w:rPr>
          <w:rFonts w:hint="eastAsia" w:ascii="仿宋_GB2312" w:hAnsi="仿宋_GB2312" w:eastAsia="仿宋_GB2312" w:cs="仿宋_GB2312"/>
          <w:sz w:val="32"/>
          <w:szCs w:val="32"/>
        </w:rPr>
      </w:pPr>
    </w:p>
    <w:p>
      <w:pPr>
        <w:spacing w:line="520" w:lineRule="exact"/>
        <w:ind w:right="640" w:firstLine="5033" w:firstLineChars="157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w:t>
      </w:r>
    </w:p>
    <w:p>
      <w:pPr>
        <w:spacing w:line="520" w:lineRule="exact"/>
        <w:ind w:right="640" w:firstLine="4640" w:firstLineChars="1450"/>
        <w:rPr>
          <w:rFonts w:ascii="仿宋_GB2312" w:eastAsia="仿宋_GB2312"/>
          <w:sz w:val="32"/>
          <w:szCs w:val="32"/>
        </w:rPr>
      </w:pPr>
      <w:r>
        <w:rPr>
          <w:rFonts w:hint="eastAsia" w:ascii="仿宋_GB2312" w:hAnsi="仿宋_GB2312" w:eastAsia="仿宋_GB2312" w:cs="仿宋_GB2312"/>
          <w:sz w:val="32"/>
          <w:szCs w:val="32"/>
        </w:rPr>
        <w:t>惠州市公共资源交易中心</w:t>
      </w:r>
    </w:p>
    <w:p>
      <w:pPr>
        <w:spacing w:line="360" w:lineRule="auto"/>
        <w:ind w:firstLine="5120" w:firstLineChars="1600"/>
        <w:rPr>
          <w:rFonts w:hint="eastAsia" w:ascii="仿宋_GB2312" w:eastAsia="仿宋_GB2312"/>
          <w:sz w:val="32"/>
          <w:szCs w:val="32"/>
          <w:lang w:val="en-US" w:eastAsia="zh-CN"/>
        </w:rPr>
      </w:pPr>
      <w:r>
        <w:rPr>
          <w:rFonts w:hint="eastAsia" w:ascii="仿宋_GB2312" w:eastAsia="仿宋_GB2312"/>
          <w:sz w:val="32"/>
          <w:szCs w:val="32"/>
          <w:lang w:val="en-US" w:eastAsia="zh-CN"/>
        </w:rPr>
        <w:t>2020年5月21日</w:t>
      </w:r>
    </w:p>
    <w:p>
      <w:pPr>
        <w:spacing w:line="360" w:lineRule="auto"/>
        <w:ind w:firstLine="5120" w:firstLineChars="1600"/>
        <w:rPr>
          <w:rFonts w:hint="eastAsia" w:ascii="仿宋_GB2312" w:eastAsia="仿宋_GB2312"/>
          <w:sz w:val="32"/>
          <w:szCs w:val="32"/>
          <w:lang w:val="en-US" w:eastAsia="zh-CN"/>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bookmarkStart w:id="0" w:name="_GoBack"/>
      <w:bookmarkEnd w:id="0"/>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7"/>
        <w:tblW w:w="104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957"/>
        <w:gridCol w:w="870"/>
        <w:gridCol w:w="1275"/>
        <w:gridCol w:w="855"/>
        <w:gridCol w:w="840"/>
        <w:gridCol w:w="885"/>
        <w:gridCol w:w="840"/>
        <w:gridCol w:w="1050"/>
        <w:gridCol w:w="990"/>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918" w:type="dxa"/>
            <w:vMerge w:val="restart"/>
            <w:vAlign w:val="center"/>
          </w:tcPr>
          <w:p>
            <w:pPr>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挂牌地块编号</w:t>
            </w:r>
          </w:p>
        </w:tc>
        <w:tc>
          <w:tcPr>
            <w:tcW w:w="957" w:type="dxa"/>
            <w:vMerge w:val="restart"/>
            <w:vAlign w:val="center"/>
          </w:tcPr>
          <w:p>
            <w:pPr>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土地</w:t>
            </w:r>
          </w:p>
          <w:p>
            <w:pPr>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位置</w:t>
            </w:r>
          </w:p>
        </w:tc>
        <w:tc>
          <w:tcPr>
            <w:tcW w:w="870" w:type="dxa"/>
            <w:vMerge w:val="restart"/>
            <w:vAlign w:val="center"/>
          </w:tcPr>
          <w:p>
            <w:pPr>
              <w:adjustRightInd w:val="0"/>
              <w:snapToGrid w:val="0"/>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规划编号</w:t>
            </w:r>
          </w:p>
        </w:tc>
        <w:tc>
          <w:tcPr>
            <w:tcW w:w="1275" w:type="dxa"/>
            <w:vMerge w:val="restart"/>
            <w:vAlign w:val="center"/>
          </w:tcPr>
          <w:p>
            <w:pPr>
              <w:adjustRightInd w:val="0"/>
              <w:snapToGrid w:val="0"/>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土地</w:t>
            </w:r>
          </w:p>
          <w:p>
            <w:pPr>
              <w:adjustRightInd w:val="0"/>
              <w:snapToGrid w:val="0"/>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用途</w:t>
            </w:r>
          </w:p>
        </w:tc>
        <w:tc>
          <w:tcPr>
            <w:tcW w:w="5460" w:type="dxa"/>
            <w:gridSpan w:val="6"/>
            <w:vAlign w:val="center"/>
          </w:tcPr>
          <w:p>
            <w:pPr>
              <w:adjustRightInd w:val="0"/>
              <w:snapToGrid w:val="0"/>
              <w:spacing w:line="320" w:lineRule="exact"/>
              <w:ind w:left="-27" w:leftChars="-51" w:hanging="80" w:hangingChars="38"/>
              <w:jc w:val="center"/>
              <w:rPr>
                <w:rFonts w:hint="eastAsia" w:ascii="仿宋_GB2312" w:eastAsia="仿宋_GB2312"/>
                <w:b/>
                <w:bCs/>
                <w:color w:val="auto"/>
                <w:szCs w:val="21"/>
              </w:rPr>
            </w:pPr>
            <w:r>
              <w:rPr>
                <w:rFonts w:hint="eastAsia" w:ascii="仿宋_GB2312" w:eastAsia="仿宋_GB2312"/>
                <w:b/>
                <w:bCs/>
                <w:color w:val="auto"/>
                <w:szCs w:val="21"/>
              </w:rPr>
              <w:t>规划指标要求</w:t>
            </w:r>
          </w:p>
        </w:tc>
        <w:tc>
          <w:tcPr>
            <w:tcW w:w="996" w:type="dxa"/>
            <w:vMerge w:val="restart"/>
            <w:vAlign w:val="center"/>
          </w:tcPr>
          <w:p>
            <w:pPr>
              <w:adjustRightInd w:val="0"/>
              <w:snapToGrid w:val="0"/>
              <w:spacing w:line="320" w:lineRule="exact"/>
              <w:ind w:left="-27" w:leftChars="-51" w:hanging="80" w:hangingChars="38"/>
              <w:jc w:val="center"/>
              <w:rPr>
                <w:rFonts w:hint="eastAsia" w:ascii="仿宋_GB2312" w:eastAsia="仿宋_GB2312"/>
                <w:b/>
                <w:bCs/>
                <w:color w:val="auto"/>
                <w:szCs w:val="21"/>
                <w:lang w:eastAsia="zh-CN"/>
              </w:rPr>
            </w:pPr>
            <w:r>
              <w:rPr>
                <w:rFonts w:hint="eastAsia" w:ascii="仿宋_GB2312" w:eastAsia="仿宋_GB2312"/>
                <w:b/>
                <w:bCs/>
                <w:color w:val="auto"/>
                <w:szCs w:val="21"/>
              </w:rPr>
              <w:t>土地使用权出让年限</w:t>
            </w:r>
            <w:r>
              <w:rPr>
                <w:rFonts w:hint="eastAsia" w:ascii="仿宋_GB2312" w:eastAsia="仿宋_GB2312"/>
                <w:b/>
                <w:bCs/>
                <w:color w:val="auto"/>
                <w:szCs w:val="21"/>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3" w:hRule="atLeast"/>
          <w:jc w:val="center"/>
        </w:trPr>
        <w:tc>
          <w:tcPr>
            <w:tcW w:w="918" w:type="dxa"/>
            <w:vMerge w:val="continue"/>
            <w:vAlign w:val="center"/>
          </w:tcPr>
          <w:p>
            <w:pPr>
              <w:adjustRightInd w:val="0"/>
              <w:snapToGrid w:val="0"/>
              <w:spacing w:line="320" w:lineRule="exact"/>
              <w:jc w:val="center"/>
              <w:rPr>
                <w:rFonts w:hint="eastAsia" w:ascii="仿宋_GB2312" w:eastAsia="仿宋_GB2312"/>
                <w:b/>
                <w:bCs/>
                <w:color w:val="auto"/>
              </w:rPr>
            </w:pPr>
          </w:p>
        </w:tc>
        <w:tc>
          <w:tcPr>
            <w:tcW w:w="957" w:type="dxa"/>
            <w:vMerge w:val="continue"/>
            <w:vAlign w:val="center"/>
          </w:tcPr>
          <w:p>
            <w:pPr>
              <w:adjustRightInd w:val="0"/>
              <w:snapToGrid w:val="0"/>
              <w:spacing w:line="320" w:lineRule="exact"/>
              <w:jc w:val="center"/>
              <w:rPr>
                <w:rFonts w:hint="eastAsia" w:ascii="仿宋_GB2312" w:eastAsia="仿宋_GB2312"/>
                <w:b/>
                <w:bCs/>
                <w:color w:val="auto"/>
              </w:rPr>
            </w:pPr>
          </w:p>
        </w:tc>
        <w:tc>
          <w:tcPr>
            <w:tcW w:w="870" w:type="dxa"/>
            <w:vMerge w:val="continue"/>
            <w:vAlign w:val="center"/>
          </w:tcPr>
          <w:p>
            <w:pPr>
              <w:adjustRightInd w:val="0"/>
              <w:snapToGrid w:val="0"/>
              <w:spacing w:line="320" w:lineRule="exact"/>
              <w:jc w:val="center"/>
              <w:rPr>
                <w:rFonts w:hint="eastAsia" w:ascii="仿宋_GB2312" w:eastAsia="仿宋_GB2312"/>
                <w:b/>
                <w:bCs/>
                <w:color w:val="auto"/>
              </w:rPr>
            </w:pPr>
          </w:p>
        </w:tc>
        <w:tc>
          <w:tcPr>
            <w:tcW w:w="1275" w:type="dxa"/>
            <w:vMerge w:val="continue"/>
            <w:vAlign w:val="center"/>
          </w:tcPr>
          <w:p>
            <w:pPr>
              <w:adjustRightInd w:val="0"/>
              <w:snapToGrid w:val="0"/>
              <w:spacing w:line="320" w:lineRule="exact"/>
              <w:jc w:val="center"/>
              <w:rPr>
                <w:rFonts w:hint="eastAsia" w:ascii="仿宋_GB2312" w:eastAsia="仿宋_GB2312"/>
                <w:b/>
                <w:bCs/>
                <w:color w:val="auto"/>
              </w:rPr>
            </w:pPr>
          </w:p>
        </w:tc>
        <w:tc>
          <w:tcPr>
            <w:tcW w:w="855" w:type="dxa"/>
            <w:vAlign w:val="center"/>
          </w:tcPr>
          <w:p>
            <w:pPr>
              <w:spacing w:line="320" w:lineRule="exact"/>
              <w:jc w:val="center"/>
              <w:rPr>
                <w:rFonts w:hint="eastAsia" w:ascii="仿宋_GB2312" w:eastAsia="仿宋_GB2312"/>
                <w:b/>
                <w:bCs/>
                <w:color w:val="auto"/>
              </w:rPr>
            </w:pPr>
            <w:r>
              <w:rPr>
                <w:rFonts w:hint="eastAsia" w:ascii="仿宋_GB2312" w:eastAsia="仿宋_GB2312"/>
                <w:b/>
                <w:bCs/>
                <w:color w:val="auto"/>
                <w:szCs w:val="21"/>
              </w:rPr>
              <w:t>计算指标用地面积（</w:t>
            </w:r>
            <w:r>
              <w:rPr>
                <w:rFonts w:hint="eastAsia" w:ascii="宋体" w:hAnsi="宋体" w:cs="宋体"/>
                <w:b/>
                <w:bCs/>
                <w:color w:val="auto"/>
                <w:szCs w:val="21"/>
              </w:rPr>
              <w:t>㎡</w:t>
            </w:r>
            <w:r>
              <w:rPr>
                <w:rFonts w:hint="eastAsia" w:ascii="仿宋_GB2312" w:eastAsia="仿宋_GB2312"/>
                <w:b/>
                <w:bCs/>
                <w:color w:val="auto"/>
                <w:szCs w:val="21"/>
              </w:rPr>
              <w:t>）</w:t>
            </w:r>
          </w:p>
          <w:p>
            <w:pPr>
              <w:jc w:val="center"/>
              <w:rPr>
                <w:rFonts w:hint="default" w:ascii="仿宋_GB2312" w:hAnsi="Times New Roman" w:eastAsia="仿宋_GB2312"/>
                <w:color w:val="auto"/>
                <w:szCs w:val="21"/>
                <w:lang w:val="en-US" w:eastAsia="zh-CN"/>
              </w:rPr>
            </w:pPr>
          </w:p>
        </w:tc>
        <w:tc>
          <w:tcPr>
            <w:tcW w:w="840" w:type="dxa"/>
            <w:vAlign w:val="center"/>
          </w:tcPr>
          <w:p>
            <w:pPr>
              <w:jc w:val="center"/>
              <w:rPr>
                <w:rFonts w:hint="default" w:ascii="仿宋_GB2312" w:hAnsi="Times New Roman" w:eastAsia="仿宋_GB2312"/>
                <w:color w:val="auto"/>
                <w:szCs w:val="21"/>
                <w:lang w:val="en-US" w:eastAsia="zh-CN"/>
              </w:rPr>
            </w:pPr>
            <w:r>
              <w:rPr>
                <w:rFonts w:hint="default" w:ascii="仿宋_GB2312" w:hAnsi="Times New Roman" w:eastAsia="仿宋_GB2312"/>
                <w:b/>
                <w:bCs/>
                <w:color w:val="auto"/>
                <w:szCs w:val="21"/>
                <w:lang w:val="en-US" w:eastAsia="zh-CN"/>
              </w:rPr>
              <w:t>建筑密度（%）</w:t>
            </w:r>
          </w:p>
        </w:tc>
        <w:tc>
          <w:tcPr>
            <w:tcW w:w="885" w:type="dxa"/>
            <w:vAlign w:val="center"/>
          </w:tcPr>
          <w:p>
            <w:pPr>
              <w:spacing w:line="320" w:lineRule="exact"/>
              <w:jc w:val="center"/>
              <w:rPr>
                <w:rFonts w:hint="eastAsia" w:ascii="仿宋_GB2312" w:eastAsia="仿宋_GB2312"/>
                <w:b/>
                <w:bCs/>
                <w:color w:val="auto"/>
                <w:szCs w:val="21"/>
              </w:rPr>
            </w:pPr>
            <w:r>
              <w:rPr>
                <w:rFonts w:hint="eastAsia" w:ascii="仿宋_GB2312" w:eastAsia="仿宋_GB2312"/>
                <w:b/>
                <w:bCs/>
                <w:color w:val="auto"/>
                <w:szCs w:val="21"/>
                <w:lang w:eastAsia="zh-CN"/>
              </w:rPr>
              <w:t>容积率</w:t>
            </w:r>
          </w:p>
        </w:tc>
        <w:tc>
          <w:tcPr>
            <w:tcW w:w="840" w:type="dxa"/>
            <w:vAlign w:val="center"/>
          </w:tcPr>
          <w:p>
            <w:pPr>
              <w:spacing w:line="320" w:lineRule="exact"/>
              <w:jc w:val="center"/>
              <w:rPr>
                <w:rFonts w:hint="eastAsia" w:ascii="仿宋_GB2312" w:eastAsia="仿宋_GB2312"/>
                <w:b/>
                <w:bCs/>
                <w:color w:val="auto"/>
                <w:szCs w:val="21"/>
                <w:lang w:eastAsia="zh-CN"/>
              </w:rPr>
            </w:pPr>
            <w:r>
              <w:rPr>
                <w:rFonts w:hint="eastAsia" w:ascii="仿宋_GB2312" w:eastAsia="仿宋_GB2312"/>
                <w:b/>
                <w:bCs/>
                <w:color w:val="auto"/>
                <w:szCs w:val="21"/>
                <w:lang w:eastAsia="zh-CN"/>
              </w:rPr>
              <w:t>绿地率（%）</w:t>
            </w:r>
          </w:p>
        </w:tc>
        <w:tc>
          <w:tcPr>
            <w:tcW w:w="2040" w:type="dxa"/>
            <w:gridSpan w:val="2"/>
            <w:vAlign w:val="center"/>
          </w:tcPr>
          <w:p>
            <w:pPr>
              <w:spacing w:line="320" w:lineRule="exact"/>
              <w:ind w:left="44" w:right="-53" w:rightChars="-25" w:hanging="44" w:hangingChars="21"/>
              <w:jc w:val="center"/>
              <w:rPr>
                <w:rFonts w:hint="eastAsia" w:ascii="仿宋" w:hAnsi="仿宋" w:eastAsia="仿宋" w:cs="仿宋"/>
                <w:b/>
                <w:bCs/>
                <w:color w:val="auto"/>
                <w:szCs w:val="21"/>
              </w:rPr>
            </w:pPr>
            <w:r>
              <w:rPr>
                <w:rFonts w:hint="eastAsia" w:ascii="仿宋" w:hAnsi="仿宋" w:eastAsia="仿宋" w:cs="仿宋"/>
                <w:b/>
                <w:bCs/>
                <w:color w:val="auto"/>
                <w:szCs w:val="21"/>
              </w:rPr>
              <w:t>计容积率建筑面积（㎡）</w:t>
            </w:r>
          </w:p>
          <w:p>
            <w:pPr>
              <w:adjustRightInd w:val="0"/>
              <w:snapToGrid w:val="0"/>
              <w:spacing w:line="320" w:lineRule="exact"/>
              <w:ind w:left="-27" w:leftChars="-51" w:hanging="80" w:hangingChars="38"/>
              <w:jc w:val="center"/>
              <w:rPr>
                <w:rFonts w:hint="eastAsia" w:ascii="仿宋_GB2312" w:eastAsia="仿宋_GB2312"/>
                <w:b/>
                <w:bCs/>
                <w:color w:val="auto"/>
                <w:lang w:eastAsia="zh-CN"/>
              </w:rPr>
            </w:pPr>
          </w:p>
        </w:tc>
        <w:tc>
          <w:tcPr>
            <w:tcW w:w="996" w:type="dxa"/>
            <w:vMerge w:val="continue"/>
            <w:vAlign w:val="center"/>
          </w:tcPr>
          <w:p>
            <w:pPr>
              <w:adjustRightInd w:val="0"/>
              <w:snapToGrid w:val="0"/>
              <w:spacing w:line="320" w:lineRule="exact"/>
              <w:ind w:left="-27" w:leftChars="-51" w:hanging="80" w:hangingChars="38"/>
              <w:jc w:val="center"/>
              <w:rPr>
                <w:rFonts w:hint="eastAsia" w:ascii="仿宋_GB2312" w:eastAsia="仿宋_GB2312"/>
                <w:b/>
                <w:bCs/>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8" w:hRule="atLeast"/>
          <w:jc w:val="center"/>
        </w:trPr>
        <w:tc>
          <w:tcPr>
            <w:tcW w:w="918" w:type="dxa"/>
            <w:tcMar>
              <w:left w:w="0" w:type="dxa"/>
              <w:right w:w="0" w:type="dxa"/>
            </w:tcMar>
            <w:vAlign w:val="center"/>
          </w:tcPr>
          <w:p>
            <w:pPr>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GP2020</w:t>
            </w:r>
          </w:p>
          <w:p>
            <w:pPr>
              <w:jc w:val="center"/>
              <w:rPr>
                <w:rFonts w:hint="default" w:ascii="仿宋_GB2312" w:hAnsi="Times New Roman" w:eastAsia="仿宋_GB2312"/>
                <w:color w:val="auto"/>
                <w:szCs w:val="21"/>
                <w:lang w:val="en-US" w:eastAsia="zh-CN"/>
              </w:rPr>
            </w:pPr>
            <w:r>
              <w:rPr>
                <w:rFonts w:hint="eastAsia" w:ascii="仿宋_GB2312" w:eastAsia="仿宋_GB2312"/>
                <w:color w:val="auto"/>
                <w:szCs w:val="21"/>
                <w:lang w:val="en-US" w:eastAsia="zh-CN"/>
              </w:rPr>
              <w:t>-16</w:t>
            </w:r>
          </w:p>
        </w:tc>
        <w:tc>
          <w:tcPr>
            <w:tcW w:w="957" w:type="dxa"/>
            <w:vAlign w:val="center"/>
          </w:tcPr>
          <w:p>
            <w:pPr>
              <w:jc w:val="center"/>
              <w:rPr>
                <w:rFonts w:hint="eastAsia" w:ascii="仿宋_GB2312" w:hAnsi="Times New Roman" w:eastAsia="仿宋_GB2312"/>
                <w:color w:val="auto"/>
                <w:szCs w:val="21"/>
                <w:lang w:eastAsia="zh-CN"/>
              </w:rPr>
            </w:pPr>
            <w:r>
              <w:rPr>
                <w:rFonts w:hint="eastAsia" w:ascii="仿宋_GB2312" w:hAnsi="Times New Roman" w:eastAsia="仿宋_GB2312"/>
                <w:color w:val="auto"/>
                <w:szCs w:val="21"/>
                <w:lang w:eastAsia="zh-CN"/>
              </w:rPr>
              <w:t>惠城区河南岸下马庄杨洞坑尖峰山地区JFS-10-01-01地块</w:t>
            </w:r>
          </w:p>
        </w:tc>
        <w:tc>
          <w:tcPr>
            <w:tcW w:w="870" w:type="dxa"/>
            <w:vAlign w:val="center"/>
          </w:tcPr>
          <w:p>
            <w:pPr>
              <w:jc w:val="center"/>
              <w:rPr>
                <w:rFonts w:hint="default" w:ascii="仿宋_GB2312" w:hAnsi="Times New Roman" w:eastAsia="仿宋_GB2312"/>
                <w:color w:val="auto"/>
                <w:szCs w:val="21"/>
                <w:lang w:val="en-US" w:eastAsia="zh-CN"/>
              </w:rPr>
            </w:pPr>
            <w:r>
              <w:rPr>
                <w:rFonts w:hint="eastAsia" w:ascii="仿宋_GB2312" w:hAnsi="仿宋_GB2312" w:eastAsia="仿宋_GB2312" w:cs="仿宋_GB2312"/>
                <w:color w:val="auto"/>
              </w:rPr>
              <w:t>JFS-10-01-01</w:t>
            </w:r>
          </w:p>
        </w:tc>
        <w:tc>
          <w:tcPr>
            <w:tcW w:w="1275" w:type="dxa"/>
            <w:tcMar>
              <w:left w:w="0" w:type="dxa"/>
              <w:right w:w="0" w:type="dxa"/>
            </w:tcMar>
            <w:vAlign w:val="center"/>
          </w:tcPr>
          <w:p>
            <w:pPr>
              <w:jc w:val="both"/>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住宅用地、商服用地</w:t>
            </w:r>
          </w:p>
        </w:tc>
        <w:tc>
          <w:tcPr>
            <w:tcW w:w="855" w:type="dxa"/>
            <w:vAlign w:val="center"/>
          </w:tcPr>
          <w:p>
            <w:pPr>
              <w:jc w:val="center"/>
              <w:rPr>
                <w:rFonts w:hint="default" w:ascii="仿宋_GB2312" w:hAnsi="Times New Roman" w:eastAsia="仿宋_GB2312"/>
                <w:color w:val="auto"/>
                <w:szCs w:val="21"/>
                <w:lang w:val="en-US" w:eastAsia="zh-CN"/>
              </w:rPr>
            </w:pPr>
            <w:r>
              <w:rPr>
                <w:rFonts w:hint="eastAsia" w:ascii="仿宋" w:hAnsi="仿宋" w:eastAsia="仿宋"/>
                <w:color w:val="auto"/>
                <w:lang w:val="en-US" w:eastAsia="zh-CN"/>
              </w:rPr>
              <w:t>442.87</w:t>
            </w:r>
          </w:p>
        </w:tc>
        <w:tc>
          <w:tcPr>
            <w:tcW w:w="840" w:type="dxa"/>
            <w:vAlign w:val="center"/>
          </w:tcPr>
          <w:p>
            <w:pPr>
              <w:jc w:val="center"/>
              <w:rPr>
                <w:rFonts w:hint="default" w:ascii="仿宋" w:hAnsi="仿宋" w:eastAsia="仿宋"/>
                <w:color w:val="auto"/>
                <w:lang w:val="en-US" w:eastAsia="zh-CN"/>
              </w:rPr>
            </w:pPr>
            <w:r>
              <w:rPr>
                <w:rFonts w:hint="eastAsia" w:ascii="仿宋" w:hAnsi="仿宋" w:eastAsia="仿宋"/>
                <w:color w:val="auto"/>
                <w:lang w:val="en-US" w:eastAsia="zh-CN"/>
              </w:rPr>
              <w:t>≤30</w:t>
            </w:r>
          </w:p>
        </w:tc>
        <w:tc>
          <w:tcPr>
            <w:tcW w:w="885" w:type="dxa"/>
            <w:vAlign w:val="center"/>
          </w:tcPr>
          <w:p>
            <w:pPr>
              <w:ind w:left="-103"/>
              <w:jc w:val="center"/>
              <w:rPr>
                <w:rFonts w:hint="default" w:ascii="仿宋_GB2312" w:hAnsi="Times New Roman" w:eastAsia="仿宋_GB2312"/>
                <w:color w:val="auto"/>
                <w:szCs w:val="21"/>
                <w:lang w:val="en-US" w:eastAsia="zh-CN"/>
              </w:rPr>
            </w:pPr>
            <w:r>
              <w:rPr>
                <w:rFonts w:hint="eastAsia" w:ascii="仿宋" w:hAnsi="仿宋" w:eastAsia="仿宋"/>
                <w:color w:val="auto"/>
                <w:lang w:val="en-US" w:eastAsia="zh-CN"/>
              </w:rPr>
              <w:t>≤2.4</w:t>
            </w:r>
          </w:p>
        </w:tc>
        <w:tc>
          <w:tcPr>
            <w:tcW w:w="840" w:type="dxa"/>
            <w:vAlign w:val="center"/>
          </w:tcPr>
          <w:p>
            <w:pPr>
              <w:ind w:left="-103"/>
              <w:jc w:val="center"/>
              <w:rPr>
                <w:rFonts w:hint="default" w:ascii="仿宋" w:hAnsi="仿宋" w:eastAsia="仿宋"/>
                <w:color w:val="auto"/>
                <w:lang w:val="en-US" w:eastAsia="zh-CN"/>
              </w:rPr>
            </w:pPr>
            <w:r>
              <w:rPr>
                <w:rFonts w:hint="eastAsia" w:ascii="仿宋" w:hAnsi="仿宋" w:eastAsia="仿宋"/>
                <w:color w:val="auto"/>
                <w:lang w:val="en-US" w:eastAsia="zh-CN"/>
              </w:rPr>
              <w:t>≥30</w:t>
            </w:r>
          </w:p>
        </w:tc>
        <w:tc>
          <w:tcPr>
            <w:tcW w:w="1050" w:type="dxa"/>
            <w:vAlign w:val="center"/>
          </w:tcPr>
          <w:p>
            <w:pPr>
              <w:jc w:val="center"/>
              <w:rPr>
                <w:rFonts w:hint="default" w:ascii="仿宋_GB2312" w:hAnsi="Times New Roman" w:eastAsia="仿宋"/>
                <w:color w:val="auto"/>
                <w:szCs w:val="21"/>
                <w:lang w:val="en-US" w:eastAsia="zh-CN"/>
              </w:rPr>
            </w:pPr>
            <w:r>
              <w:rPr>
                <w:rFonts w:hint="eastAsia" w:ascii="仿宋" w:hAnsi="仿宋" w:eastAsia="仿宋" w:cs="仿宋"/>
                <w:color w:val="auto"/>
              </w:rPr>
              <w:t>≤1062.9</w:t>
            </w:r>
          </w:p>
        </w:tc>
        <w:tc>
          <w:tcPr>
            <w:tcW w:w="990" w:type="dxa"/>
            <w:vAlign w:val="center"/>
          </w:tcPr>
          <w:p>
            <w:pPr>
              <w:jc w:val="center"/>
              <w:rPr>
                <w:rFonts w:hint="eastAsia" w:ascii="仿宋" w:hAnsi="仿宋" w:eastAsia="仿宋"/>
              </w:rPr>
            </w:pPr>
            <w:r>
              <w:rPr>
                <w:rFonts w:hint="eastAsia" w:ascii="仿宋" w:hAnsi="仿宋" w:eastAsia="仿宋"/>
                <w:lang w:eastAsia="zh-CN"/>
              </w:rPr>
              <w:t>其中：</w:t>
            </w:r>
            <w:r>
              <w:rPr>
                <w:rFonts w:hint="eastAsia" w:ascii="仿宋" w:hAnsi="仿宋" w:eastAsia="仿宋"/>
              </w:rPr>
              <w:t>商业建筑面积比例≤</w:t>
            </w:r>
            <w:r>
              <w:rPr>
                <w:rFonts w:hint="eastAsia" w:ascii="仿宋" w:hAnsi="仿宋" w:eastAsia="仿宋"/>
                <w:lang w:val="en-US" w:eastAsia="zh-CN"/>
              </w:rPr>
              <w:t>10</w:t>
            </w:r>
            <w:r>
              <w:rPr>
                <w:rFonts w:hint="eastAsia" w:ascii="仿宋" w:hAnsi="仿宋" w:eastAsia="仿宋"/>
              </w:rPr>
              <w:t>%</w:t>
            </w:r>
          </w:p>
          <w:p>
            <w:pPr>
              <w:jc w:val="center"/>
              <w:rPr>
                <w:rFonts w:hint="eastAsia" w:ascii="仿宋" w:hAnsi="仿宋" w:eastAsia="仿宋"/>
                <w:color w:val="auto"/>
                <w:lang w:eastAsia="zh-CN"/>
              </w:rPr>
            </w:pPr>
          </w:p>
        </w:tc>
        <w:tc>
          <w:tcPr>
            <w:tcW w:w="996" w:type="dxa"/>
            <w:vAlign w:val="center"/>
          </w:tcPr>
          <w:p>
            <w:pPr>
              <w:jc w:val="center"/>
              <w:rPr>
                <w:rFonts w:hint="eastAsia" w:ascii="仿宋" w:hAnsi="仿宋" w:eastAsia="仿宋"/>
                <w:color w:val="auto"/>
                <w:lang w:eastAsia="zh-CN"/>
              </w:rPr>
            </w:pPr>
            <w:r>
              <w:rPr>
                <w:rFonts w:hint="eastAsia" w:ascii="仿宋" w:hAnsi="仿宋" w:eastAsia="仿宋"/>
                <w:color w:val="auto"/>
                <w:lang w:eastAsia="zh-CN"/>
              </w:rPr>
              <w:t>商业：40</w:t>
            </w:r>
          </w:p>
          <w:p>
            <w:pPr>
              <w:jc w:val="center"/>
              <w:rPr>
                <w:rFonts w:hint="eastAsia" w:ascii="仿宋" w:hAnsi="仿宋" w:eastAsia="仿宋"/>
                <w:color w:val="auto"/>
                <w:lang w:eastAsia="zh-CN"/>
              </w:rPr>
            </w:pPr>
            <w:r>
              <w:rPr>
                <w:rFonts w:hint="eastAsia" w:ascii="仿宋" w:hAnsi="仿宋" w:eastAsia="仿宋"/>
                <w:color w:val="auto"/>
                <w:lang w:eastAsia="zh-CN"/>
              </w:rPr>
              <w:t>住宅：70</w:t>
            </w:r>
          </w:p>
        </w:tc>
      </w:tr>
    </w:tbl>
    <w:p>
      <w:pPr>
        <w:spacing w:line="360" w:lineRule="auto"/>
        <w:ind w:firstLine="5120" w:firstLineChars="1600"/>
        <w:rPr>
          <w:rFonts w:hint="default" w:ascii="仿宋_GB2312" w:eastAsia="仿宋_GB2312"/>
          <w:sz w:val="32"/>
          <w:szCs w:val="32"/>
          <w:lang w:val="en-US" w:eastAsia="zh-CN"/>
        </w:rPr>
        <w:sectPr>
          <w:headerReference r:id="rId3" w:type="default"/>
          <w:footerReference r:id="rId4" w:type="default"/>
          <w:pgSz w:w="11906" w:h="16838"/>
          <w:pgMar w:top="1440" w:right="1440" w:bottom="1440" w:left="1440" w:header="851" w:footer="992" w:gutter="0"/>
          <w:pgNumType w:fmt="numberInDash" w:start="1"/>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rPr>
                          </w:pPr>
                          <w:r>
                            <w:fldChar w:fldCharType="begin"/>
                          </w:r>
                          <w:r>
                            <w:rPr>
                              <w:rStyle w:val="6"/>
                            </w:rPr>
                            <w:instrText xml:space="preserve">PAGE  </w:instrText>
                          </w:r>
                          <w:r>
                            <w:fldChar w:fldCharType="separate"/>
                          </w:r>
                          <w:r>
                            <w:rPr>
                              <w:rStyle w:val="6"/>
                            </w:rP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Style w:val="6"/>
                      </w:rPr>
                    </w:pPr>
                    <w:r>
                      <w:fldChar w:fldCharType="begin"/>
                    </w:r>
                    <w:r>
                      <w:rPr>
                        <w:rStyle w:val="6"/>
                      </w:rPr>
                      <w:instrText xml:space="preserve">PAGE  </w:instrText>
                    </w:r>
                    <w:r>
                      <w:fldChar w:fldCharType="separate"/>
                    </w:r>
                    <w:r>
                      <w:rPr>
                        <w:rStyle w:val="6"/>
                      </w:rP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rPr>
        <w:rFonts w:hint="eastAsia"/>
      </w:rPr>
    </w:pPr>
  </w:p>
  <w:p>
    <w:pPr>
      <w:pStyle w:val="4"/>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C35B2"/>
    <w:rsid w:val="1F2C35B2"/>
    <w:rsid w:val="595F6692"/>
    <w:rsid w:val="5E227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footer"/>
    <w:basedOn w:val="1"/>
    <w:uiPriority w:val="0"/>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2020-05-20T02:39:00Z</dcterms:created>
  <dc:creator>黄春枚</dc:creator>
  <cp:lastModifiedBy>黄春枚</cp:lastModifiedBy>
  <dcterms:modified xsi:type="dcterms:W3CDTF">2020-05-21T01:32:25Z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