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pStyle w:val="6"/>
        <w:keepNext w:val="0"/>
        <w:keepLines w:val="0"/>
        <w:widowControl/>
        <w:suppressLineNumbers w:val="0"/>
        <w:spacing w:line="525" w:lineRule="atLeast"/>
        <w:jc w:val="center"/>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惠公易土市直[2020]042号</w:t>
      </w:r>
    </w:p>
    <w:p>
      <w:pPr>
        <w:spacing w:line="520" w:lineRule="exact"/>
        <w:ind w:firstLine="360" w:firstLineChars="200"/>
        <w:rPr>
          <w:rFonts w:hint="eastAsia" w:ascii="仿宋_GB2312" w:eastAsia="仿宋_GB2312"/>
          <w:sz w:val="18"/>
          <w:szCs w:val="18"/>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cs="Times New Roman"/>
          <w:kern w:val="2"/>
          <w:sz w:val="32"/>
          <w:szCs w:val="32"/>
          <w:lang w:val="en-US" w:eastAsia="zh-CN"/>
        </w:rPr>
        <w:t>87150</w:t>
      </w:r>
      <w:r>
        <w:rPr>
          <w:rFonts w:hint="eastAsia" w:ascii="仿宋_GB2312" w:hAnsi="仿宋_GB2312" w:eastAsia="仿宋_GB2312" w:cs="仿宋_GB2312"/>
          <w:sz w:val="32"/>
          <w:szCs w:val="32"/>
        </w:rPr>
        <w:t>万元,每次报价加价幅度为人民币10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万元的整数倍。</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eastAsia="仿宋_GB2312" w:cs="Times New Roman"/>
          <w:sz w:val="32"/>
          <w:szCs w:val="32"/>
        </w:rPr>
        <w:t>（即竞得人必须是新公司的唯一股东）。</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rPr>
        <w:t>六、申请人应具备的其他条件：</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cs="仿宋_GB2312"/>
          <w:color w:val="000000"/>
          <w:sz w:val="32"/>
          <w:szCs w:val="32"/>
          <w:lang w:val="en-US" w:eastAsia="zh-CN"/>
        </w:rPr>
        <w:t>17430</w:t>
      </w:r>
      <w:r>
        <w:rPr>
          <w:rFonts w:hint="eastAsia" w:hAnsi="仿宋_GB2312" w:cs="仿宋_GB2312"/>
          <w:szCs w:val="32"/>
        </w:rPr>
        <w:t>万元人民币，如以外币缴交竞买保证金的，须缴交美元</w:t>
      </w:r>
      <w:r>
        <w:rPr>
          <w:rFonts w:hint="eastAsia" w:hAnsi="仿宋_GB2312" w:cs="仿宋_GB2312"/>
          <w:szCs w:val="32"/>
          <w:lang w:val="en-US" w:eastAsia="zh-CN"/>
        </w:rPr>
        <w:t>2584</w:t>
      </w:r>
      <w:r>
        <w:rPr>
          <w:rFonts w:hint="eastAsia" w:hAnsi="仿宋_GB2312" w:cs="仿宋_GB2312"/>
          <w:szCs w:val="32"/>
        </w:rPr>
        <w:t>万元或港币</w:t>
      </w:r>
      <w:r>
        <w:rPr>
          <w:rFonts w:hint="eastAsia" w:hAnsi="仿宋_GB2312" w:cs="仿宋_GB2312"/>
          <w:szCs w:val="32"/>
          <w:lang w:val="en-US" w:eastAsia="zh-CN"/>
        </w:rPr>
        <w:t>20021</w:t>
      </w:r>
      <w:r>
        <w:rPr>
          <w:rFonts w:hint="eastAsia" w:hAnsi="仿宋_GB2312" w:cs="仿宋_GB2312"/>
          <w:szCs w:val="32"/>
        </w:rPr>
        <w:t>万元。</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（二）竞得人在用地红线内开发建设必须符合城市规划要求，必须按《</w:t>
      </w:r>
      <w:r>
        <w:rPr>
          <w:rFonts w:hint="eastAsia" w:hAnsi="仿宋_GB2312" w:cs="仿宋_GB2312"/>
          <w:szCs w:val="32"/>
          <w:lang w:eastAsia="zh-CN"/>
        </w:rPr>
        <w:t>建设用地规划设计条件</w:t>
      </w:r>
      <w:r>
        <w:rPr>
          <w:rFonts w:hint="eastAsia" w:hAnsi="仿宋_GB2312" w:cs="仿宋_GB2312"/>
          <w:szCs w:val="32"/>
        </w:rPr>
        <w:t>》（案卷编号：</w:t>
      </w:r>
      <w:r>
        <w:rPr>
          <w:rFonts w:hint="eastAsia" w:ascii="仿宋_GB2312" w:hAnsi="仿宋" w:eastAsia="仿宋_GB2312" w:cs="Times New Roman"/>
          <w:sz w:val="32"/>
          <w:szCs w:val="32"/>
        </w:rPr>
        <w:t>PB20</w:t>
      </w:r>
      <w:r>
        <w:rPr>
          <w:rFonts w:hint="default" w:ascii="仿宋_GB2312" w:hAnsi="仿宋" w:eastAsia="仿宋_GB2312" w:cs="Times New Roman"/>
          <w:sz w:val="32"/>
          <w:szCs w:val="32"/>
          <w:lang w:val="en-US"/>
        </w:rPr>
        <w:t>200</w:t>
      </w:r>
      <w:r>
        <w:rPr>
          <w:rFonts w:hint="eastAsia" w:hAnsi="仿宋" w:cs="Times New Roman"/>
          <w:sz w:val="32"/>
          <w:szCs w:val="32"/>
          <w:lang w:val="en-US" w:eastAsia="zh-CN"/>
        </w:rPr>
        <w:t>119</w:t>
      </w:r>
      <w:r>
        <w:rPr>
          <w:rFonts w:hint="eastAsia" w:hAnsi="仿宋_GB2312" w:cs="仿宋_GB2312"/>
          <w:szCs w:val="32"/>
        </w:rPr>
        <w:t>）规划控制指标要求及有关规定进行规划设计。</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kern w:val="2"/>
          <w:sz w:val="32"/>
          <w:szCs w:val="32"/>
        </w:rPr>
        <w:t>（三）</w:t>
      </w:r>
      <w:r>
        <w:rPr>
          <w:rFonts w:hint="eastAsia" w:ascii="仿宋_GB2312" w:hAnsi="仿宋" w:eastAsia="仿宋_GB2312" w:cs="Times New Roman"/>
          <w:kern w:val="2"/>
          <w:sz w:val="32"/>
          <w:szCs w:val="32"/>
          <w:lang w:eastAsia="zh-CN"/>
        </w:rPr>
        <w:t>土地竞得人在竞得地块后，先与惠城区政府签订《新型产业用地项目实施监管协议书》方可与市自然资源局签订《国有建设用地使用权出让合同》。</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lang w:eastAsia="zh-CN"/>
        </w:rPr>
        <w:t>（四）开发投资总额按新型产业用地项目实施监管协议书中有关约定执行。</w:t>
      </w:r>
    </w:p>
    <w:p>
      <w:pPr>
        <w:keepNext w:val="0"/>
        <w:keepLines w:val="0"/>
        <w:pageBreakBefore w:val="0"/>
        <w:kinsoku/>
        <w:wordWrap/>
        <w:overflowPunct/>
        <w:topLinePunct w:val="0"/>
        <w:autoSpaceDE/>
        <w:autoSpaceDN/>
        <w:bidi w:val="0"/>
        <w:spacing w:line="560" w:lineRule="exact"/>
        <w:ind w:firstLine="610"/>
        <w:textAlignment w:val="auto"/>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五</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该新型产业项目中兼容的商业和住宅用地及地上物业的分割转让应满足新型产业用地项目实施监管协议书的要求。</w:t>
      </w:r>
    </w:p>
    <w:p>
      <w:pPr>
        <w:keepNext w:val="0"/>
        <w:keepLines w:val="0"/>
        <w:pageBreakBefore w:val="0"/>
        <w:kinsoku/>
        <w:wordWrap/>
        <w:overflowPunct/>
        <w:topLinePunct w:val="0"/>
        <w:autoSpaceDE/>
        <w:autoSpaceDN/>
        <w:bidi w:val="0"/>
        <w:spacing w:line="560" w:lineRule="exact"/>
        <w:ind w:firstLine="610"/>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val="en-US" w:eastAsia="zh-CN"/>
        </w:rPr>
        <w:t>六</w:t>
      </w:r>
      <w:bookmarkStart w:id="0" w:name="_GoBack"/>
      <w:bookmarkEnd w:id="0"/>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val="en-US" w:eastAsia="zh-CN"/>
        </w:rPr>
        <w:t>土地竞得人须按规划要求承担地块内的密路网（包括雨水管和污水管）的建设，建成后无偿移交给政府相关部门并开发给公众使用。</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七）幼儿园具体位置可由土地竞得人结合总平面设计统筹布置，幼儿园应与所在地块同步规划设计、同步建设、同步验收交付使用。在办理供地手续时，在出让合同中明确由地块使用权者按照规划要求和惠城区教育局提出的建设标准完成配套幼儿园建设并无偿移交，不动产登记部门在办理分割登记手续时，将幼儿园按划拨教育用地办至惠城区教育局名下。</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（八） 土地竞得人须按照规划要求和惠城区教育局提出的建设标准承担JSH-B04-21-03地块规划的九年一贯制学校建设并无偿移交，九年一贯制学校须与JSH-B02-19、JSH-B02-20、JSH-B02-21、JSH-B02-23地块同步规划设计、同步建设、同步验收交付使用。JSH-B04-21-03地块同步划拨至惠城区教育局名下。</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（九）JSH-B02-19地块内严禁建设配套住宅。</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（十）新型产业生产配套用房严禁建设成套住宅、专家楼、宾馆、招待所和培训中心等非生产性配套设施，严禁建设服务型公寓。</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（十一）该地块上空110KV高压线迁移费用由竞得人自理。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sz w:val="32"/>
          <w:szCs w:val="32"/>
        </w:rPr>
      </w:pPr>
      <w:r>
        <w:rPr>
          <w:rFonts w:hint="eastAsia" w:ascii="仿宋_GB2312" w:hAnsi="仿宋" w:eastAsia="仿宋_GB2312" w:cs="Times New Roman"/>
          <w:kern w:val="2"/>
          <w:sz w:val="32"/>
          <w:szCs w:val="32"/>
          <w:lang w:val="en-US" w:eastAsia="zh-CN"/>
        </w:rPr>
        <w:t>（十二）JSH-B02-22地块规划要充分考虑站场、配套设施等未来综合开发的需求。</w:t>
      </w:r>
    </w:p>
    <w:p>
      <w:pPr>
        <w:keepNext w:val="0"/>
        <w:keepLines w:val="0"/>
        <w:pageBreakBefore w:val="0"/>
        <w:widowControl/>
        <w:kinsoku/>
        <w:wordWrap/>
        <w:overflowPunct/>
        <w:topLinePunct w:val="0"/>
        <w:autoSpaceDE/>
        <w:autoSpaceDN/>
        <w:bidi w:val="0"/>
        <w:spacing w:line="560" w:lineRule="exact"/>
        <w:ind w:firstLine="618"/>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十三</w:t>
      </w:r>
      <w:r>
        <w:rPr>
          <w:rFonts w:hint="eastAsia" w:ascii="仿宋_GB2312" w:hAnsi="仿宋" w:eastAsia="仿宋_GB2312"/>
          <w:sz w:val="32"/>
          <w:szCs w:val="32"/>
        </w:rPr>
        <w:t>）存在下列违法违规违约行为之一的企业及其控股股东，不得参与竞买上述地块：</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1、存在伪造公文骗取用地和非法倒卖土地等犯罪行为的；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2、存在非法转让土地使用权等违法行为的；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5、至报名日止仍拖欠政府地价款的;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6、被列入问题楼盘开发企业黑名单的;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7、存在其它被禁止竞买土地行为的。</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eastAsia="zh-CN"/>
        </w:rPr>
      </w:pPr>
      <w:r>
        <w:rPr>
          <w:rFonts w:hint="eastAsia" w:ascii="仿宋_GB2312" w:hAnsi="仿宋_GB2312" w:eastAsia="仿宋_GB2312" w:cs="仿宋_GB2312"/>
          <w:sz w:val="32"/>
          <w:szCs w:val="32"/>
        </w:rPr>
        <w:t>（一）</w:t>
      </w:r>
      <w:r>
        <w:rPr>
          <w:rFonts w:hint="eastAsia" w:ascii="仿宋_GB2312" w:hAnsi="仿宋" w:eastAsia="仿宋_GB2312" w:cs="Times New Roman"/>
          <w:kern w:val="2"/>
          <w:sz w:val="32"/>
          <w:szCs w:val="32"/>
          <w:lang w:eastAsia="zh-CN"/>
        </w:rPr>
        <w:t>开发投资总额按新型产业用地项目实施监管协议书中有关约定执行。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（四）竞得人有下列行为之一的，视为违约，取消竞得人资格，没收保证金,并由有关部门依法处理;造成损失的，竞得人还应依法承担赔偿责任：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叶小姐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31</w:t>
      </w:r>
      <w:r>
        <w:rPr>
          <w:rFonts w:hint="eastAsia" w:ascii="仿宋_GB2312" w:hAnsi="仿宋_GB2312" w:cs="仿宋_GB2312"/>
          <w:sz w:val="32"/>
          <w:szCs w:val="32"/>
          <w:lang w:val="en-US" w:eastAsia="zh-CN"/>
        </w:rPr>
        <w:t>2</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hint="eastAsia"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120" w:firstLineChars="1600"/>
        <w:rPr>
          <w:rFonts w:hint="default" w:ascii="仿宋_GB2312" w:eastAsia="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eastAsia="仿宋_GB2312"/>
          <w:sz w:val="32"/>
          <w:szCs w:val="32"/>
          <w:lang w:val="en-US" w:eastAsia="zh-CN"/>
        </w:rPr>
        <w:t>2020年11月2日</w:t>
      </w: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9"/>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750"/>
        <w:gridCol w:w="540"/>
        <w:gridCol w:w="1065"/>
        <w:gridCol w:w="1065"/>
        <w:gridCol w:w="555"/>
        <w:gridCol w:w="558"/>
        <w:gridCol w:w="1572"/>
        <w:gridCol w:w="912"/>
        <w:gridCol w:w="642"/>
        <w:gridCol w:w="118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58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54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106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48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864"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585"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540" w:type="dxa"/>
            <w:vMerge w:val="continue"/>
            <w:vAlign w:val="center"/>
          </w:tcPr>
          <w:p>
            <w:pPr>
              <w:adjustRightInd w:val="0"/>
              <w:snapToGrid w:val="0"/>
              <w:spacing w:line="320" w:lineRule="exact"/>
              <w:jc w:val="center"/>
              <w:rPr>
                <w:rFonts w:hint="eastAsia" w:ascii="仿宋_GB2312" w:eastAsia="仿宋_GB2312"/>
                <w:b/>
                <w:bCs/>
              </w:rPr>
            </w:pPr>
          </w:p>
        </w:tc>
        <w:tc>
          <w:tcPr>
            <w:tcW w:w="1065" w:type="dxa"/>
            <w:vMerge w:val="continue"/>
            <w:vAlign w:val="center"/>
          </w:tcPr>
          <w:p>
            <w:pPr>
              <w:adjustRightInd w:val="0"/>
              <w:snapToGrid w:val="0"/>
              <w:spacing w:line="320" w:lineRule="exact"/>
              <w:jc w:val="center"/>
              <w:rPr>
                <w:rFonts w:hint="eastAsia" w:ascii="仿宋_GB2312" w:eastAsia="仿宋_GB2312"/>
                <w:b/>
                <w:bCs/>
              </w:rPr>
            </w:pPr>
          </w:p>
        </w:tc>
        <w:tc>
          <w:tcPr>
            <w:tcW w:w="1065"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555"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558"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572"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912"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642"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仿宋_GB2312" w:eastAsia="仿宋_GB2312"/>
                <w:b/>
                <w:bCs/>
              </w:rPr>
            </w:pPr>
            <w:r>
              <w:rPr>
                <w:rFonts w:hint="eastAsia" w:ascii="宋体" w:hAnsi="宋体" w:cs="宋体"/>
                <w:b/>
                <w:szCs w:val="21"/>
              </w:rPr>
              <w:t>（％）</w:t>
            </w:r>
          </w:p>
        </w:tc>
        <w:tc>
          <w:tcPr>
            <w:tcW w:w="1182"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864"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90" w:type="dxa"/>
            <w:vMerge w:val="restart"/>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GP2020-42</w:t>
            </w:r>
          </w:p>
        </w:tc>
        <w:tc>
          <w:tcPr>
            <w:tcW w:w="585" w:type="dxa"/>
            <w:vMerge w:val="restart"/>
            <w:vAlign w:val="center"/>
          </w:tcPr>
          <w:p>
            <w:pPr>
              <w:jc w:val="center"/>
              <w:rPr>
                <w:rFonts w:hint="eastAsia" w:ascii="仿宋_GB2312" w:hAnsi="Times New Roman" w:eastAsia="仿宋_GB2312"/>
                <w:szCs w:val="21"/>
                <w:lang w:eastAsia="zh-CN"/>
              </w:rPr>
            </w:pPr>
            <w:r>
              <w:rPr>
                <w:rFonts w:hint="eastAsia" w:ascii="仿宋_GB2312" w:eastAsia="仿宋_GB2312"/>
                <w:szCs w:val="21"/>
                <w:lang w:val="en-US" w:eastAsia="zh-CN"/>
              </w:rPr>
              <w:t>惠州市</w:t>
            </w:r>
            <w:r>
              <w:rPr>
                <w:rFonts w:hint="eastAsia" w:ascii="仿宋_GB2312" w:hAnsi="Times New Roman" w:eastAsia="仿宋_GB2312"/>
                <w:szCs w:val="21"/>
                <w:lang w:eastAsia="zh-CN"/>
              </w:rPr>
              <w:t>金山湖片区</w:t>
            </w:r>
          </w:p>
        </w:tc>
        <w:tc>
          <w:tcPr>
            <w:tcW w:w="750" w:type="dxa"/>
            <w:vAlign w:val="center"/>
          </w:tcPr>
          <w:p>
            <w:pPr>
              <w:jc w:val="center"/>
              <w:rPr>
                <w:rFonts w:hint="eastAsia" w:ascii="仿宋_GB2312" w:hAnsi="Times New Roman" w:eastAsia="仿宋_GB2312"/>
                <w:szCs w:val="21"/>
              </w:rPr>
            </w:pPr>
            <w:r>
              <w:rPr>
                <w:rFonts w:hint="eastAsia" w:ascii="Times New Roman" w:hAnsi="Times New Roman" w:eastAsia="仿宋_GB2312" w:cs="Times New Roman"/>
                <w:szCs w:val="21"/>
                <w:lang w:val="en-US" w:eastAsia="zh-CN"/>
              </w:rPr>
              <w:t>JSH-B02-19</w:t>
            </w:r>
          </w:p>
        </w:tc>
        <w:tc>
          <w:tcPr>
            <w:tcW w:w="540" w:type="dxa"/>
            <w:tcMar>
              <w:left w:w="0" w:type="dxa"/>
              <w:right w:w="0" w:type="dxa"/>
            </w:tcMar>
            <w:vAlign w:val="center"/>
          </w:tcPr>
          <w:p>
            <w:pPr>
              <w:jc w:val="center"/>
              <w:rPr>
                <w:rFonts w:hint="eastAsia" w:ascii="仿宋_GB2312" w:hAnsi="Times New Roman" w:eastAsia="仿宋_GB2312"/>
                <w:szCs w:val="21"/>
              </w:rPr>
            </w:pPr>
            <w:r>
              <w:rPr>
                <w:rFonts w:hint="eastAsia" w:ascii="仿宋_GB2312" w:hAnsi="Times New Roman" w:eastAsia="仿宋_GB2312"/>
                <w:szCs w:val="21"/>
                <w:lang w:eastAsia="zh-CN"/>
              </w:rPr>
              <w:t>新型产业</w:t>
            </w:r>
            <w:r>
              <w:rPr>
                <w:rFonts w:hint="eastAsia" w:ascii="仿宋_GB2312" w:hAnsi="Times New Roman" w:eastAsia="仿宋_GB2312"/>
                <w:szCs w:val="21"/>
              </w:rPr>
              <w:t>用地</w:t>
            </w:r>
          </w:p>
        </w:tc>
        <w:tc>
          <w:tcPr>
            <w:tcW w:w="1065" w:type="dxa"/>
            <w:vAlign w:val="center"/>
          </w:tcPr>
          <w:p>
            <w:pPr>
              <w:adjustRightInd w:val="0"/>
              <w:snapToGrid w:val="0"/>
              <w:spacing w:line="400" w:lineRule="exact"/>
              <w:jc w:val="center"/>
              <w:rPr>
                <w:rFonts w:hint="default" w:eastAsia="仿宋_GB2312"/>
                <w:szCs w:val="21"/>
                <w:lang w:val="en-US" w:eastAsia="zh-CN"/>
              </w:rPr>
            </w:pPr>
            <w:r>
              <w:rPr>
                <w:rFonts w:hint="eastAsia" w:ascii="Times New Roman" w:hAnsi="Times New Roman" w:eastAsia="仿宋_GB2312" w:cs="Times New Roman"/>
                <w:szCs w:val="21"/>
                <w:lang w:val="en-US" w:eastAsia="zh-CN"/>
              </w:rPr>
              <w:t>39715.88</w:t>
            </w:r>
          </w:p>
        </w:tc>
        <w:tc>
          <w:tcPr>
            <w:tcW w:w="1065" w:type="dxa"/>
            <w:vAlign w:val="center"/>
          </w:tcPr>
          <w:p>
            <w:pPr>
              <w:jc w:val="center"/>
              <w:rPr>
                <w:rFonts w:hint="default" w:ascii="仿宋_GB2312" w:hAnsi="Times New Roman" w:eastAsia="仿宋_GB2312"/>
                <w:szCs w:val="21"/>
                <w:lang w:val="en-US" w:eastAsia="zh-CN"/>
              </w:rPr>
            </w:pPr>
            <w:r>
              <w:rPr>
                <w:rFonts w:hint="eastAsia" w:ascii="Times New Roman" w:hAnsi="Times New Roman" w:eastAsia="仿宋_GB2312" w:cs="Times New Roman"/>
                <w:szCs w:val="21"/>
                <w:lang w:val="en-US" w:eastAsia="zh-CN"/>
              </w:rPr>
              <w:t>52015.18</w:t>
            </w:r>
          </w:p>
        </w:tc>
        <w:tc>
          <w:tcPr>
            <w:tcW w:w="555" w:type="dxa"/>
            <w:vMerge w:val="restart"/>
            <w:vAlign w:val="center"/>
          </w:tcPr>
          <w:p>
            <w:pPr>
              <w:adjustRightInd w:val="0"/>
              <w:snapToGrid w:val="0"/>
              <w:spacing w:line="400" w:lineRule="exact"/>
              <w:jc w:val="center"/>
              <w:rPr>
                <w:rFonts w:hint="default" w:ascii="仿宋_GB2312" w:hAnsi="Times New Roman" w:eastAsia="仿宋_GB2312"/>
                <w:szCs w:val="21"/>
                <w:lang w:val="en-US" w:eastAsia="zh-CN"/>
              </w:rPr>
            </w:pPr>
            <w:r>
              <w:rPr>
                <w:rFonts w:hint="eastAsia" w:eastAsia="仿宋_GB2312"/>
                <w:szCs w:val="21"/>
              </w:rPr>
              <w:t>≤</w:t>
            </w:r>
            <w:r>
              <w:rPr>
                <w:rFonts w:hint="eastAsia" w:eastAsia="仿宋_GB2312"/>
                <w:szCs w:val="21"/>
                <w:lang w:val="en-US" w:eastAsia="zh-CN"/>
              </w:rPr>
              <w:t>45</w:t>
            </w:r>
          </w:p>
        </w:tc>
        <w:tc>
          <w:tcPr>
            <w:tcW w:w="558" w:type="dxa"/>
            <w:vMerge w:val="restart"/>
            <w:vAlign w:val="center"/>
          </w:tcPr>
          <w:p>
            <w:pPr>
              <w:adjustRightInd w:val="0"/>
              <w:snapToGrid w:val="0"/>
              <w:spacing w:line="400" w:lineRule="exact"/>
              <w:jc w:val="center"/>
              <w:rPr>
                <w:rFonts w:hint="default" w:ascii="仿宋_GB2312" w:hAnsi="Times New Roman" w:eastAsia="仿宋_GB2312"/>
                <w:szCs w:val="21"/>
                <w:lang w:val="en-US" w:eastAsia="zh-CN"/>
              </w:rPr>
            </w:pPr>
            <w:r>
              <w:rPr>
                <w:rFonts w:hint="eastAsia" w:eastAsia="仿宋_GB2312"/>
                <w:szCs w:val="21"/>
              </w:rPr>
              <w:t>≤</w:t>
            </w:r>
            <w:r>
              <w:rPr>
                <w:rFonts w:hint="eastAsia" w:eastAsia="仿宋_GB2312"/>
                <w:szCs w:val="21"/>
                <w:lang w:val="en-US" w:eastAsia="zh-CN"/>
              </w:rPr>
              <w:t>2.68</w:t>
            </w:r>
          </w:p>
        </w:tc>
        <w:tc>
          <w:tcPr>
            <w:tcW w:w="1572" w:type="dxa"/>
            <w:vMerge w:val="restart"/>
            <w:vAlign w:val="center"/>
          </w:tcPr>
          <w:p>
            <w:pPr>
              <w:adjustRightInd w:val="0"/>
              <w:snapToGrid w:val="0"/>
              <w:spacing w:line="400" w:lineRule="exact"/>
              <w:jc w:val="center"/>
              <w:rPr>
                <w:rFonts w:hint="eastAsia" w:ascii="仿宋_GB2312" w:hAnsi="Times New Roman" w:eastAsia="仿宋_GB2312"/>
                <w:szCs w:val="21"/>
              </w:rPr>
            </w:pPr>
            <w:r>
              <w:rPr>
                <w:rFonts w:hint="eastAsia" w:ascii="仿宋_GB2312" w:hAnsi="仿宋_GB2312" w:eastAsia="仿宋_GB2312" w:cs="仿宋_GB2312"/>
                <w:sz w:val="21"/>
                <w:szCs w:val="21"/>
              </w:rPr>
              <w:t>≤420000（产业用房建筑面积≥60%，配套住宅、商业和商务建筑面积≤30%，配套用房建筑面积≤10%，不得建设服务型公寓，且JSH-B02-19地块内不得建设配套住宅。配套设施建筑面积≥3240</w:t>
            </w:r>
            <w:r>
              <w:rPr>
                <w:rFonts w:hint="eastAsia" w:ascii="仿宋_GB2312" w:hAnsi="仿宋_GB2312" w:eastAsia="仿宋_GB2312" w:cs="仿宋_GB2312"/>
                <w:sz w:val="21"/>
                <w:szCs w:val="21"/>
                <w:lang w:eastAsia="zh-CN"/>
              </w:rPr>
              <w:t>）</w:t>
            </w:r>
          </w:p>
        </w:tc>
        <w:tc>
          <w:tcPr>
            <w:tcW w:w="912" w:type="dxa"/>
            <w:vMerge w:val="restart"/>
            <w:vAlign w:val="center"/>
          </w:tcPr>
          <w:p>
            <w:pPr>
              <w:adjustRightInd w:val="0"/>
              <w:snapToGrid w:val="0"/>
              <w:spacing w:line="400" w:lineRule="exact"/>
              <w:jc w:val="center"/>
              <w:rPr>
                <w:rFonts w:hint="eastAsia" w:ascii="仿宋_GB2312" w:hAnsi="Times New Roman" w:eastAsia="仿宋_GB2312"/>
                <w:szCs w:val="21"/>
              </w:rPr>
            </w:pPr>
            <w:r>
              <w:rPr>
                <w:rFonts w:hint="eastAsia" w:ascii="仿宋_GB2312" w:hAnsi="仿宋_GB2312" w:eastAsia="仿宋_GB2312" w:cs="仿宋_GB2312"/>
                <w:sz w:val="21"/>
                <w:szCs w:val="21"/>
              </w:rPr>
              <w:t>产业建筑每100平方米计容积率面积≥0.5个，产业配套用房、配套住宅、商业、商务建筑面积每100平方米计容积率建筑≥1个</w:t>
            </w:r>
            <w:r>
              <w:rPr>
                <w:rFonts w:hint="eastAsia" w:ascii="仿宋_GB2312" w:hAnsi="仿宋_GB2312" w:eastAsia="仿宋_GB2312" w:cs="仿宋_GB2312"/>
                <w:sz w:val="21"/>
                <w:szCs w:val="21"/>
                <w:lang w:eastAsia="zh-CN"/>
              </w:rPr>
              <w:t>。</w:t>
            </w:r>
          </w:p>
        </w:tc>
        <w:tc>
          <w:tcPr>
            <w:tcW w:w="642" w:type="dxa"/>
            <w:vMerge w:val="restart"/>
            <w:vAlign w:val="center"/>
          </w:tcPr>
          <w:p>
            <w:pPr>
              <w:adjustRightInd w:val="0"/>
              <w:snapToGrid w:val="0"/>
              <w:spacing w:line="400" w:lineRule="exact"/>
              <w:jc w:val="center"/>
              <w:rPr>
                <w:rFonts w:hint="default" w:ascii="仿宋_GB2312" w:hAnsi="Times New Roman" w:eastAsia="仿宋_GB2312"/>
                <w:szCs w:val="21"/>
                <w:lang w:val="en-US" w:eastAsia="zh-CN"/>
              </w:rPr>
            </w:pPr>
            <w:r>
              <w:rPr>
                <w:rFonts w:ascii="Arial" w:hAnsi="Arial" w:eastAsia="仿宋_GB2312" w:cs="Arial"/>
                <w:szCs w:val="21"/>
              </w:rPr>
              <w:t>≥</w:t>
            </w:r>
            <w:r>
              <w:rPr>
                <w:rFonts w:hint="eastAsia" w:ascii="仿宋_GB2312" w:hAnsi="仿宋_GB2312" w:eastAsia="仿宋_GB2312" w:cs="仿宋_GB2312"/>
                <w:szCs w:val="21"/>
                <w:lang w:val="en-US" w:eastAsia="zh-CN"/>
              </w:rPr>
              <w:t>20</w:t>
            </w:r>
          </w:p>
        </w:tc>
        <w:tc>
          <w:tcPr>
            <w:tcW w:w="1182" w:type="dxa"/>
            <w:vMerge w:val="restart"/>
            <w:vAlign w:val="center"/>
          </w:tcPr>
          <w:p>
            <w:pPr>
              <w:ind w:leftChars="-51" w:right="-118" w:rightChars="-56" w:hanging="107" w:hangingChars="51"/>
              <w:jc w:val="left"/>
              <w:rPr>
                <w:rFonts w:hint="eastAsia" w:ascii="仿宋_GB2312" w:hAnsi="仿宋_GB2312" w:eastAsia="仿宋_GB2312"/>
                <w:color w:val="000000"/>
                <w:szCs w:val="21"/>
              </w:rPr>
            </w:pPr>
            <w:r>
              <w:rPr>
                <w:rFonts w:hint="eastAsia" w:ascii="仿宋_GB2312" w:hAnsi="仿宋_GB2312" w:eastAsia="仿宋_GB2312" w:cs="仿宋_GB2312"/>
                <w:sz w:val="21"/>
                <w:szCs w:val="21"/>
              </w:rPr>
              <w:t>新型产业配套用房严禁建设成套住宅、专家楼宾馆、招待所和培训中心等 非生产性配套设施，严禁建设服务型公寓。</w:t>
            </w:r>
          </w:p>
        </w:tc>
        <w:tc>
          <w:tcPr>
            <w:tcW w:w="86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 w:eastAsia="仿宋_GB2312" w:cs="Times New Roman"/>
                <w:kern w:val="2"/>
                <w:sz w:val="32"/>
                <w:szCs w:val="32"/>
              </w:rPr>
            </w:pPr>
            <w:r>
              <w:rPr>
                <w:rFonts w:hint="eastAsia" w:ascii="仿宋_GB2312" w:hAnsi="仿宋" w:eastAsia="仿宋_GB2312" w:cs="Times New Roman"/>
                <w:kern w:val="2"/>
                <w:sz w:val="21"/>
                <w:szCs w:val="21"/>
                <w:lang w:eastAsia="zh-CN"/>
              </w:rPr>
              <w:t>产业用地</w:t>
            </w:r>
            <w:r>
              <w:rPr>
                <w:rFonts w:hint="eastAsia" w:ascii="仿宋_GB2312" w:hAnsi="仿宋" w:eastAsia="仿宋_GB2312" w:cs="Times New Roman"/>
                <w:kern w:val="2"/>
                <w:sz w:val="21"/>
                <w:szCs w:val="21"/>
                <w:lang w:val="en-US" w:eastAsia="zh-CN"/>
              </w:rPr>
              <w:t>50年、城镇</w:t>
            </w:r>
            <w:r>
              <w:rPr>
                <w:rFonts w:hint="eastAsia" w:ascii="仿宋_GB2312" w:hAnsi="仿宋" w:eastAsia="仿宋_GB2312" w:cs="Times New Roman"/>
                <w:kern w:val="2"/>
                <w:sz w:val="21"/>
                <w:szCs w:val="21"/>
              </w:rPr>
              <w:t>住宅用地70年</w:t>
            </w:r>
            <w:r>
              <w:rPr>
                <w:rFonts w:hint="eastAsia" w:ascii="仿宋_GB2312" w:hAnsi="仿宋" w:eastAsia="仿宋_GB2312" w:cs="Times New Roman"/>
                <w:kern w:val="2"/>
                <w:sz w:val="21"/>
                <w:szCs w:val="21"/>
                <w:lang w:eastAsia="zh-CN"/>
              </w:rPr>
              <w:t>、</w:t>
            </w:r>
            <w:r>
              <w:rPr>
                <w:rFonts w:hint="eastAsia" w:ascii="仿宋_GB2312" w:hAnsi="仿宋" w:eastAsia="仿宋_GB2312" w:cs="Times New Roman"/>
                <w:kern w:val="2"/>
                <w:sz w:val="21"/>
                <w:szCs w:val="21"/>
              </w:rPr>
              <w:t>商服用地40年。</w:t>
            </w:r>
          </w:p>
          <w:p>
            <w:pPr>
              <w:ind w:leftChars="-51" w:right="-118" w:rightChars="-56" w:hanging="107" w:hangingChars="51"/>
              <w:jc w:val="left"/>
              <w:rPr>
                <w:rFonts w:hint="eastAsia" w:ascii="仿宋_GB2312" w:hAns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90" w:type="dxa"/>
            <w:vMerge w:val="continue"/>
            <w:tcMar>
              <w:left w:w="0" w:type="dxa"/>
              <w:right w:w="0" w:type="dxa"/>
            </w:tcMar>
            <w:vAlign w:val="center"/>
          </w:tcPr>
          <w:p>
            <w:pPr>
              <w:jc w:val="center"/>
              <w:rPr>
                <w:rFonts w:hint="eastAsia" w:ascii="仿宋_GB2312" w:hAnsi="Times New Roman" w:eastAsia="仿宋_GB2312"/>
                <w:szCs w:val="21"/>
              </w:rPr>
            </w:pPr>
          </w:p>
        </w:tc>
        <w:tc>
          <w:tcPr>
            <w:tcW w:w="585" w:type="dxa"/>
            <w:vMerge w:val="continue"/>
            <w:vAlign w:val="center"/>
          </w:tcPr>
          <w:p>
            <w:pPr>
              <w:jc w:val="center"/>
              <w:rPr>
                <w:rFonts w:hint="eastAsia" w:ascii="仿宋_GB2312" w:hAnsi="Times New Roman" w:eastAsia="仿宋_GB2312"/>
                <w:szCs w:val="21"/>
              </w:rPr>
            </w:pPr>
          </w:p>
        </w:tc>
        <w:tc>
          <w:tcPr>
            <w:tcW w:w="750" w:type="dxa"/>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JSH-B02-20</w:t>
            </w:r>
          </w:p>
        </w:tc>
        <w:tc>
          <w:tcPr>
            <w:tcW w:w="540" w:type="dxa"/>
            <w:tcMar>
              <w:left w:w="0" w:type="dxa"/>
              <w:right w:w="0" w:type="dxa"/>
            </w:tcMar>
            <w:vAlign w:val="center"/>
          </w:tcPr>
          <w:p>
            <w:pPr>
              <w:jc w:val="center"/>
              <w:rPr>
                <w:rFonts w:hint="eastAsia" w:ascii="仿宋_GB2312" w:hAnsi="Times New Roman" w:eastAsia="仿宋_GB2312"/>
                <w:szCs w:val="21"/>
              </w:rPr>
            </w:pPr>
            <w:r>
              <w:rPr>
                <w:rFonts w:hint="eastAsia" w:ascii="仿宋_GB2312" w:hAnsi="Times New Roman" w:eastAsia="仿宋_GB2312"/>
                <w:szCs w:val="21"/>
                <w:lang w:eastAsia="zh-CN"/>
              </w:rPr>
              <w:t>新型产业</w:t>
            </w:r>
            <w:r>
              <w:rPr>
                <w:rFonts w:hint="eastAsia" w:ascii="仿宋_GB2312" w:hAnsi="Times New Roman" w:eastAsia="仿宋_GB2312"/>
                <w:szCs w:val="21"/>
              </w:rPr>
              <w:t>用地</w:t>
            </w:r>
          </w:p>
        </w:tc>
        <w:tc>
          <w:tcPr>
            <w:tcW w:w="1065" w:type="dxa"/>
            <w:vAlign w:val="center"/>
          </w:tcPr>
          <w:p>
            <w:pPr>
              <w:adjustRightInd w:val="0"/>
              <w:snapToGrid w:val="0"/>
              <w:spacing w:line="400" w:lineRule="exact"/>
              <w:jc w:val="center"/>
              <w:rPr>
                <w:rFonts w:hint="default" w:eastAsia="仿宋_GB2312"/>
                <w:szCs w:val="21"/>
                <w:lang w:val="en-US" w:eastAsia="zh-CN"/>
              </w:rPr>
            </w:pPr>
            <w:r>
              <w:rPr>
                <w:rFonts w:hint="eastAsia" w:eastAsia="仿宋_GB2312"/>
                <w:szCs w:val="21"/>
                <w:lang w:val="en-US" w:eastAsia="zh-CN"/>
              </w:rPr>
              <w:t>34243.64</w:t>
            </w:r>
          </w:p>
        </w:tc>
        <w:tc>
          <w:tcPr>
            <w:tcW w:w="1065" w:type="dxa"/>
            <w:vAlign w:val="center"/>
          </w:tcPr>
          <w:p>
            <w:pPr>
              <w:jc w:val="center"/>
              <w:rPr>
                <w:rFonts w:hint="eastAsia" w:ascii="Times New Roman" w:hAnsi="Times New Roman" w:eastAsia="仿宋_GB2312" w:cs="Times New Roman"/>
                <w:szCs w:val="21"/>
                <w:lang w:val="en-US" w:eastAsia="zh-CN"/>
              </w:rPr>
            </w:pPr>
            <w:r>
              <w:rPr>
                <w:rFonts w:hint="eastAsia" w:eastAsia="仿宋_GB2312"/>
                <w:szCs w:val="21"/>
                <w:lang w:val="en-US" w:eastAsia="zh-CN"/>
              </w:rPr>
              <w:t>46719.55</w:t>
            </w:r>
          </w:p>
        </w:tc>
        <w:tc>
          <w:tcPr>
            <w:tcW w:w="555" w:type="dxa"/>
            <w:vMerge w:val="continue"/>
            <w:vAlign w:val="center"/>
          </w:tcPr>
          <w:p>
            <w:pPr>
              <w:adjustRightInd w:val="0"/>
              <w:snapToGrid w:val="0"/>
              <w:spacing w:line="400" w:lineRule="exact"/>
              <w:jc w:val="center"/>
              <w:rPr>
                <w:rFonts w:hint="eastAsia" w:eastAsia="仿宋_GB2312"/>
                <w:szCs w:val="21"/>
              </w:rPr>
            </w:pPr>
          </w:p>
        </w:tc>
        <w:tc>
          <w:tcPr>
            <w:tcW w:w="558" w:type="dxa"/>
            <w:vMerge w:val="continue"/>
            <w:vAlign w:val="center"/>
          </w:tcPr>
          <w:p>
            <w:pPr>
              <w:adjustRightInd w:val="0"/>
              <w:snapToGrid w:val="0"/>
              <w:spacing w:line="400" w:lineRule="exact"/>
              <w:jc w:val="center"/>
              <w:rPr>
                <w:rFonts w:hint="eastAsia" w:ascii="仿宋_GB2312" w:hAnsi="仿宋_GB2312" w:eastAsia="仿宋_GB2312" w:cs="仿宋_GB2312"/>
                <w:szCs w:val="21"/>
              </w:rPr>
            </w:pPr>
          </w:p>
        </w:tc>
        <w:tc>
          <w:tcPr>
            <w:tcW w:w="1572" w:type="dxa"/>
            <w:vMerge w:val="continue"/>
            <w:vAlign w:val="center"/>
          </w:tcPr>
          <w:p>
            <w:pPr>
              <w:adjustRightInd w:val="0"/>
              <w:snapToGrid w:val="0"/>
              <w:spacing w:line="400" w:lineRule="exact"/>
              <w:jc w:val="center"/>
              <w:rPr>
                <w:rFonts w:hint="eastAsia" w:ascii="仿宋_GB2312" w:hAnsi="Times New Roman" w:eastAsia="仿宋_GB2312"/>
                <w:szCs w:val="21"/>
              </w:rPr>
            </w:pPr>
          </w:p>
        </w:tc>
        <w:tc>
          <w:tcPr>
            <w:tcW w:w="912" w:type="dxa"/>
            <w:vMerge w:val="continue"/>
            <w:vAlign w:val="center"/>
          </w:tcPr>
          <w:p>
            <w:pPr>
              <w:adjustRightInd w:val="0"/>
              <w:snapToGrid w:val="0"/>
              <w:spacing w:line="400" w:lineRule="exact"/>
              <w:jc w:val="center"/>
              <w:rPr>
                <w:rFonts w:hint="eastAsia" w:ascii="仿宋_GB2312" w:hAnsi="Times New Roman" w:eastAsia="仿宋_GB2312"/>
                <w:szCs w:val="21"/>
                <w:lang w:val="en-US" w:eastAsia="zh-CN"/>
              </w:rPr>
            </w:pPr>
          </w:p>
        </w:tc>
        <w:tc>
          <w:tcPr>
            <w:tcW w:w="642" w:type="dxa"/>
            <w:vMerge w:val="continue"/>
            <w:vAlign w:val="center"/>
          </w:tcPr>
          <w:p>
            <w:pPr>
              <w:adjustRightInd w:val="0"/>
              <w:snapToGrid w:val="0"/>
              <w:spacing w:line="400" w:lineRule="exact"/>
              <w:jc w:val="center"/>
              <w:rPr>
                <w:rFonts w:ascii="Arial" w:hAnsi="Arial" w:eastAsia="仿宋_GB2312" w:cs="Arial"/>
                <w:szCs w:val="21"/>
              </w:rPr>
            </w:pPr>
          </w:p>
        </w:tc>
        <w:tc>
          <w:tcPr>
            <w:tcW w:w="1182" w:type="dxa"/>
            <w:vMerge w:val="continue"/>
            <w:vAlign w:val="center"/>
          </w:tcPr>
          <w:p>
            <w:pPr>
              <w:ind w:leftChars="-51" w:right="-118" w:rightChars="-56" w:hanging="107" w:hangingChars="51"/>
              <w:jc w:val="left"/>
              <w:rPr>
                <w:rFonts w:hint="eastAsia" w:ascii="仿宋_GB2312" w:hAnsi="仿宋_GB2312" w:eastAsia="仿宋_GB2312"/>
                <w:color w:val="000000"/>
                <w:szCs w:val="21"/>
              </w:rPr>
            </w:pPr>
          </w:p>
        </w:tc>
        <w:tc>
          <w:tcPr>
            <w:tcW w:w="864" w:type="dxa"/>
            <w:vMerge w:val="continue"/>
            <w:vAlign w:val="center"/>
          </w:tcPr>
          <w:p>
            <w:pPr>
              <w:ind w:leftChars="-51" w:right="-118" w:rightChars="-56" w:hanging="107" w:hangingChars="51"/>
              <w:jc w:val="left"/>
              <w:rPr>
                <w:rFonts w:hint="eastAsia" w:ascii="仿宋_GB2312" w:hAns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90" w:type="dxa"/>
            <w:vMerge w:val="continue"/>
            <w:tcMar>
              <w:left w:w="0" w:type="dxa"/>
              <w:right w:w="0" w:type="dxa"/>
            </w:tcMar>
            <w:vAlign w:val="center"/>
          </w:tcPr>
          <w:p>
            <w:pPr>
              <w:jc w:val="center"/>
              <w:rPr>
                <w:rFonts w:hint="eastAsia" w:ascii="仿宋_GB2312" w:hAnsi="Times New Roman" w:eastAsia="仿宋_GB2312"/>
                <w:szCs w:val="21"/>
              </w:rPr>
            </w:pPr>
          </w:p>
        </w:tc>
        <w:tc>
          <w:tcPr>
            <w:tcW w:w="585" w:type="dxa"/>
            <w:vMerge w:val="continue"/>
            <w:vAlign w:val="center"/>
          </w:tcPr>
          <w:p>
            <w:pPr>
              <w:jc w:val="center"/>
              <w:rPr>
                <w:rFonts w:hint="eastAsia" w:ascii="仿宋_GB2312" w:hAnsi="Times New Roman" w:eastAsia="仿宋_GB2312"/>
                <w:szCs w:val="21"/>
              </w:rPr>
            </w:pPr>
          </w:p>
        </w:tc>
        <w:tc>
          <w:tcPr>
            <w:tcW w:w="750" w:type="dxa"/>
            <w:vAlign w:val="center"/>
          </w:tcPr>
          <w:p>
            <w:pPr>
              <w:jc w:val="center"/>
              <w:rPr>
                <w:rFonts w:hint="eastAsia" w:ascii="仿宋_GB2312" w:hAnsi="Times New Roman" w:eastAsia="仿宋_GB2312"/>
                <w:szCs w:val="21"/>
                <w:lang w:eastAsia="zh-CN"/>
              </w:rPr>
            </w:pPr>
            <w:r>
              <w:rPr>
                <w:rFonts w:hint="eastAsia" w:ascii="Times New Roman" w:hAnsi="Times New Roman" w:eastAsia="仿宋_GB2312" w:cs="Times New Roman"/>
                <w:szCs w:val="21"/>
                <w:lang w:val="en-US" w:eastAsia="zh-CN"/>
              </w:rPr>
              <w:t>JSH-B02-21</w:t>
            </w:r>
          </w:p>
        </w:tc>
        <w:tc>
          <w:tcPr>
            <w:tcW w:w="540" w:type="dxa"/>
            <w:tcMar>
              <w:left w:w="0" w:type="dxa"/>
              <w:right w:w="0" w:type="dxa"/>
            </w:tcMar>
            <w:vAlign w:val="center"/>
          </w:tcPr>
          <w:p>
            <w:pPr>
              <w:jc w:val="center"/>
              <w:rPr>
                <w:rFonts w:hint="eastAsia" w:ascii="仿宋_GB2312" w:hAnsi="Times New Roman" w:eastAsia="仿宋_GB2312"/>
                <w:szCs w:val="21"/>
              </w:rPr>
            </w:pPr>
            <w:r>
              <w:rPr>
                <w:rFonts w:hint="eastAsia" w:ascii="仿宋_GB2312" w:hAnsi="Times New Roman" w:eastAsia="仿宋_GB2312"/>
                <w:szCs w:val="21"/>
                <w:lang w:eastAsia="zh-CN"/>
              </w:rPr>
              <w:t>新型产业</w:t>
            </w:r>
            <w:r>
              <w:rPr>
                <w:rFonts w:hint="eastAsia" w:ascii="仿宋_GB2312" w:hAnsi="Times New Roman" w:eastAsia="仿宋_GB2312"/>
                <w:szCs w:val="21"/>
              </w:rPr>
              <w:t>用地</w:t>
            </w:r>
          </w:p>
        </w:tc>
        <w:tc>
          <w:tcPr>
            <w:tcW w:w="1065" w:type="dxa"/>
            <w:vAlign w:val="center"/>
          </w:tcPr>
          <w:p>
            <w:pPr>
              <w:adjustRightInd w:val="0"/>
              <w:snapToGrid w:val="0"/>
              <w:spacing w:line="400" w:lineRule="exact"/>
              <w:jc w:val="center"/>
              <w:rPr>
                <w:rFonts w:hint="default" w:eastAsia="仿宋_GB2312"/>
                <w:szCs w:val="21"/>
                <w:lang w:val="en-US" w:eastAsia="zh-CN"/>
              </w:rPr>
            </w:pPr>
            <w:r>
              <w:rPr>
                <w:rFonts w:hint="eastAsia" w:eastAsia="仿宋_GB2312"/>
                <w:szCs w:val="21"/>
                <w:lang w:val="en-US" w:eastAsia="zh-CN"/>
              </w:rPr>
              <w:t>16487.34</w:t>
            </w:r>
          </w:p>
        </w:tc>
        <w:tc>
          <w:tcPr>
            <w:tcW w:w="1065" w:type="dxa"/>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19966.03</w:t>
            </w:r>
          </w:p>
        </w:tc>
        <w:tc>
          <w:tcPr>
            <w:tcW w:w="555" w:type="dxa"/>
            <w:vMerge w:val="continue"/>
            <w:vAlign w:val="center"/>
          </w:tcPr>
          <w:p>
            <w:pPr>
              <w:adjustRightInd w:val="0"/>
              <w:snapToGrid w:val="0"/>
              <w:spacing w:line="400" w:lineRule="exact"/>
              <w:jc w:val="center"/>
              <w:rPr>
                <w:rFonts w:hint="eastAsia" w:eastAsia="仿宋_GB2312"/>
                <w:szCs w:val="21"/>
              </w:rPr>
            </w:pPr>
          </w:p>
        </w:tc>
        <w:tc>
          <w:tcPr>
            <w:tcW w:w="558" w:type="dxa"/>
            <w:vMerge w:val="continue"/>
            <w:vAlign w:val="center"/>
          </w:tcPr>
          <w:p>
            <w:pPr>
              <w:adjustRightInd w:val="0"/>
              <w:snapToGrid w:val="0"/>
              <w:spacing w:line="400" w:lineRule="exact"/>
              <w:jc w:val="center"/>
              <w:rPr>
                <w:rFonts w:hint="eastAsia" w:ascii="仿宋_GB2312" w:hAnsi="仿宋_GB2312" w:eastAsia="仿宋_GB2312" w:cs="仿宋_GB2312"/>
                <w:szCs w:val="21"/>
              </w:rPr>
            </w:pPr>
          </w:p>
        </w:tc>
        <w:tc>
          <w:tcPr>
            <w:tcW w:w="1572" w:type="dxa"/>
            <w:vMerge w:val="continue"/>
            <w:vAlign w:val="center"/>
          </w:tcPr>
          <w:p>
            <w:pPr>
              <w:adjustRightInd w:val="0"/>
              <w:snapToGrid w:val="0"/>
              <w:spacing w:line="400" w:lineRule="exact"/>
              <w:jc w:val="center"/>
              <w:rPr>
                <w:rFonts w:hint="eastAsia" w:ascii="仿宋_GB2312" w:hAnsi="Times New Roman" w:eastAsia="仿宋_GB2312"/>
                <w:szCs w:val="21"/>
              </w:rPr>
            </w:pPr>
          </w:p>
        </w:tc>
        <w:tc>
          <w:tcPr>
            <w:tcW w:w="912" w:type="dxa"/>
            <w:vMerge w:val="continue"/>
            <w:vAlign w:val="center"/>
          </w:tcPr>
          <w:p>
            <w:pPr>
              <w:adjustRightInd w:val="0"/>
              <w:snapToGrid w:val="0"/>
              <w:spacing w:line="400" w:lineRule="exact"/>
              <w:jc w:val="center"/>
              <w:rPr>
                <w:rFonts w:hint="eastAsia" w:ascii="仿宋_GB2312" w:hAnsi="Times New Roman" w:eastAsia="仿宋_GB2312"/>
                <w:szCs w:val="21"/>
                <w:lang w:val="en-US" w:eastAsia="zh-CN"/>
              </w:rPr>
            </w:pPr>
          </w:p>
        </w:tc>
        <w:tc>
          <w:tcPr>
            <w:tcW w:w="642" w:type="dxa"/>
            <w:vMerge w:val="continue"/>
            <w:vAlign w:val="center"/>
          </w:tcPr>
          <w:p>
            <w:pPr>
              <w:adjustRightInd w:val="0"/>
              <w:snapToGrid w:val="0"/>
              <w:spacing w:line="400" w:lineRule="exact"/>
              <w:jc w:val="center"/>
              <w:rPr>
                <w:rFonts w:ascii="Arial" w:hAnsi="Arial" w:eastAsia="仿宋_GB2312" w:cs="Arial"/>
                <w:szCs w:val="21"/>
              </w:rPr>
            </w:pPr>
          </w:p>
        </w:tc>
        <w:tc>
          <w:tcPr>
            <w:tcW w:w="1182" w:type="dxa"/>
            <w:vMerge w:val="continue"/>
            <w:vAlign w:val="center"/>
          </w:tcPr>
          <w:p>
            <w:pPr>
              <w:ind w:leftChars="-51" w:right="-118" w:rightChars="-56" w:hanging="107" w:hangingChars="51"/>
              <w:jc w:val="left"/>
              <w:rPr>
                <w:rFonts w:hint="eastAsia" w:ascii="仿宋_GB2312" w:hAnsi="仿宋_GB2312" w:eastAsia="仿宋_GB2312"/>
                <w:color w:val="000000"/>
                <w:szCs w:val="21"/>
              </w:rPr>
            </w:pPr>
          </w:p>
        </w:tc>
        <w:tc>
          <w:tcPr>
            <w:tcW w:w="864" w:type="dxa"/>
            <w:vMerge w:val="continue"/>
            <w:vAlign w:val="center"/>
          </w:tcPr>
          <w:p>
            <w:pPr>
              <w:ind w:leftChars="-51" w:right="-118" w:rightChars="-56" w:hanging="107" w:hangingChars="51"/>
              <w:jc w:val="left"/>
              <w:rPr>
                <w:rFonts w:hint="eastAsia" w:ascii="仿宋_GB2312" w:hAns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90" w:type="dxa"/>
            <w:vMerge w:val="continue"/>
            <w:tcMar>
              <w:left w:w="0" w:type="dxa"/>
              <w:right w:w="0" w:type="dxa"/>
            </w:tcMar>
            <w:vAlign w:val="center"/>
          </w:tcPr>
          <w:p>
            <w:pPr>
              <w:jc w:val="center"/>
              <w:rPr>
                <w:rFonts w:hint="eastAsia" w:ascii="仿宋_GB2312" w:hAnsi="Times New Roman" w:eastAsia="仿宋_GB2312"/>
                <w:szCs w:val="21"/>
              </w:rPr>
            </w:pPr>
          </w:p>
        </w:tc>
        <w:tc>
          <w:tcPr>
            <w:tcW w:w="585" w:type="dxa"/>
            <w:vMerge w:val="continue"/>
            <w:vAlign w:val="center"/>
          </w:tcPr>
          <w:p>
            <w:pPr>
              <w:jc w:val="center"/>
              <w:rPr>
                <w:rFonts w:hint="eastAsia" w:ascii="仿宋_GB2312" w:hAnsi="Times New Roman" w:eastAsia="仿宋_GB2312"/>
                <w:szCs w:val="21"/>
              </w:rPr>
            </w:pPr>
          </w:p>
        </w:tc>
        <w:tc>
          <w:tcPr>
            <w:tcW w:w="750" w:type="dxa"/>
            <w:vAlign w:val="center"/>
          </w:tcPr>
          <w:p>
            <w:pPr>
              <w:jc w:val="center"/>
              <w:rPr>
                <w:rFonts w:hint="eastAsia" w:ascii="仿宋_GB2312" w:hAnsi="Times New Roman" w:eastAsia="仿宋_GB2312"/>
                <w:szCs w:val="21"/>
                <w:lang w:eastAsia="zh-CN"/>
              </w:rPr>
            </w:pPr>
            <w:r>
              <w:rPr>
                <w:rFonts w:hint="eastAsia" w:ascii="Times New Roman" w:hAnsi="Times New Roman" w:eastAsia="仿宋_GB2312" w:cs="Times New Roman"/>
                <w:szCs w:val="21"/>
                <w:lang w:val="en-US" w:eastAsia="zh-CN"/>
              </w:rPr>
              <w:t>JSH-B02-23</w:t>
            </w:r>
          </w:p>
        </w:tc>
        <w:tc>
          <w:tcPr>
            <w:tcW w:w="540" w:type="dxa"/>
            <w:tcMar>
              <w:left w:w="0" w:type="dxa"/>
              <w:right w:w="0" w:type="dxa"/>
            </w:tcMar>
            <w:vAlign w:val="center"/>
          </w:tcPr>
          <w:p>
            <w:pPr>
              <w:jc w:val="center"/>
              <w:rPr>
                <w:rFonts w:hint="eastAsia" w:ascii="仿宋_GB2312" w:hAnsi="Times New Roman" w:eastAsia="仿宋_GB2312"/>
                <w:szCs w:val="21"/>
              </w:rPr>
            </w:pPr>
            <w:r>
              <w:rPr>
                <w:rFonts w:hint="eastAsia" w:ascii="仿宋_GB2312" w:hAnsi="Times New Roman" w:eastAsia="仿宋_GB2312"/>
                <w:szCs w:val="21"/>
                <w:lang w:eastAsia="zh-CN"/>
              </w:rPr>
              <w:t>新型产业</w:t>
            </w:r>
            <w:r>
              <w:rPr>
                <w:rFonts w:hint="eastAsia" w:ascii="仿宋_GB2312" w:hAnsi="Times New Roman" w:eastAsia="仿宋_GB2312"/>
                <w:szCs w:val="21"/>
              </w:rPr>
              <w:t>用地</w:t>
            </w:r>
          </w:p>
        </w:tc>
        <w:tc>
          <w:tcPr>
            <w:tcW w:w="1065" w:type="dxa"/>
            <w:vAlign w:val="center"/>
          </w:tcPr>
          <w:p>
            <w:pPr>
              <w:adjustRightInd w:val="0"/>
              <w:snapToGrid w:val="0"/>
              <w:spacing w:line="400" w:lineRule="exact"/>
              <w:jc w:val="center"/>
              <w:rPr>
                <w:rFonts w:hint="default" w:eastAsia="仿宋_GB2312"/>
                <w:szCs w:val="21"/>
                <w:lang w:val="en-US" w:eastAsia="zh-CN"/>
              </w:rPr>
            </w:pPr>
            <w:r>
              <w:rPr>
                <w:rFonts w:hint="eastAsia" w:eastAsia="仿宋_GB2312"/>
                <w:szCs w:val="21"/>
                <w:lang w:val="en-US" w:eastAsia="zh-CN"/>
              </w:rPr>
              <w:t>26369.37</w:t>
            </w:r>
          </w:p>
        </w:tc>
        <w:tc>
          <w:tcPr>
            <w:tcW w:w="1065" w:type="dxa"/>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38139.99</w:t>
            </w:r>
          </w:p>
        </w:tc>
        <w:tc>
          <w:tcPr>
            <w:tcW w:w="555" w:type="dxa"/>
            <w:vMerge w:val="continue"/>
            <w:vAlign w:val="center"/>
          </w:tcPr>
          <w:p>
            <w:pPr>
              <w:adjustRightInd w:val="0"/>
              <w:snapToGrid w:val="0"/>
              <w:spacing w:line="400" w:lineRule="exact"/>
              <w:jc w:val="center"/>
              <w:rPr>
                <w:rFonts w:hint="eastAsia" w:eastAsia="仿宋_GB2312"/>
                <w:szCs w:val="21"/>
              </w:rPr>
            </w:pPr>
          </w:p>
        </w:tc>
        <w:tc>
          <w:tcPr>
            <w:tcW w:w="558" w:type="dxa"/>
            <w:vMerge w:val="continue"/>
            <w:vAlign w:val="center"/>
          </w:tcPr>
          <w:p>
            <w:pPr>
              <w:adjustRightInd w:val="0"/>
              <w:snapToGrid w:val="0"/>
              <w:spacing w:line="400" w:lineRule="exact"/>
              <w:jc w:val="center"/>
              <w:rPr>
                <w:rFonts w:hint="eastAsia" w:ascii="仿宋_GB2312" w:hAnsi="仿宋_GB2312" w:eastAsia="仿宋_GB2312" w:cs="仿宋_GB2312"/>
                <w:szCs w:val="21"/>
              </w:rPr>
            </w:pPr>
          </w:p>
        </w:tc>
        <w:tc>
          <w:tcPr>
            <w:tcW w:w="1572" w:type="dxa"/>
            <w:vMerge w:val="continue"/>
            <w:vAlign w:val="center"/>
          </w:tcPr>
          <w:p>
            <w:pPr>
              <w:adjustRightInd w:val="0"/>
              <w:snapToGrid w:val="0"/>
              <w:spacing w:line="400" w:lineRule="exact"/>
              <w:jc w:val="center"/>
              <w:rPr>
                <w:rFonts w:hint="eastAsia" w:ascii="仿宋_GB2312" w:hAnsi="Times New Roman" w:eastAsia="仿宋_GB2312"/>
                <w:szCs w:val="21"/>
              </w:rPr>
            </w:pPr>
          </w:p>
        </w:tc>
        <w:tc>
          <w:tcPr>
            <w:tcW w:w="912" w:type="dxa"/>
            <w:vMerge w:val="continue"/>
            <w:vAlign w:val="center"/>
          </w:tcPr>
          <w:p>
            <w:pPr>
              <w:adjustRightInd w:val="0"/>
              <w:snapToGrid w:val="0"/>
              <w:spacing w:line="400" w:lineRule="exact"/>
              <w:jc w:val="center"/>
              <w:rPr>
                <w:rFonts w:hint="eastAsia" w:ascii="仿宋_GB2312" w:hAnsi="Times New Roman" w:eastAsia="仿宋_GB2312"/>
                <w:szCs w:val="21"/>
                <w:lang w:val="en-US" w:eastAsia="zh-CN"/>
              </w:rPr>
            </w:pPr>
          </w:p>
        </w:tc>
        <w:tc>
          <w:tcPr>
            <w:tcW w:w="642" w:type="dxa"/>
            <w:vMerge w:val="continue"/>
            <w:vAlign w:val="center"/>
          </w:tcPr>
          <w:p>
            <w:pPr>
              <w:adjustRightInd w:val="0"/>
              <w:snapToGrid w:val="0"/>
              <w:spacing w:line="400" w:lineRule="exact"/>
              <w:jc w:val="center"/>
              <w:rPr>
                <w:rFonts w:ascii="Arial" w:hAnsi="Arial" w:eastAsia="仿宋_GB2312" w:cs="Arial"/>
                <w:szCs w:val="21"/>
              </w:rPr>
            </w:pPr>
          </w:p>
        </w:tc>
        <w:tc>
          <w:tcPr>
            <w:tcW w:w="1182" w:type="dxa"/>
            <w:vMerge w:val="continue"/>
            <w:vAlign w:val="center"/>
          </w:tcPr>
          <w:p>
            <w:pPr>
              <w:ind w:leftChars="-51" w:right="-118" w:rightChars="-56" w:hanging="107" w:hangingChars="51"/>
              <w:jc w:val="left"/>
              <w:rPr>
                <w:rFonts w:hint="eastAsia" w:ascii="仿宋_GB2312" w:hAnsi="仿宋_GB2312" w:eastAsia="仿宋_GB2312"/>
                <w:color w:val="000000"/>
                <w:szCs w:val="21"/>
              </w:rPr>
            </w:pPr>
          </w:p>
        </w:tc>
        <w:tc>
          <w:tcPr>
            <w:tcW w:w="864" w:type="dxa"/>
            <w:vMerge w:val="continue"/>
            <w:vAlign w:val="center"/>
          </w:tcPr>
          <w:p>
            <w:pPr>
              <w:ind w:leftChars="-51" w:right="-118" w:rightChars="-56" w:hanging="107" w:hangingChars="51"/>
              <w:jc w:val="left"/>
              <w:rPr>
                <w:rFonts w:hint="eastAsia" w:ascii="仿宋_GB2312" w:hAnsi="仿宋_GB2312" w:eastAsia="仿宋_GB2312"/>
                <w:color w:val="000000"/>
                <w:szCs w:val="21"/>
              </w:rPr>
            </w:pPr>
          </w:p>
        </w:tc>
      </w:tr>
    </w:tbl>
    <w:p>
      <w:pPr>
        <w:tabs>
          <w:tab w:val="left" w:pos="11340"/>
        </w:tabs>
        <w:spacing w:line="600" w:lineRule="exact"/>
        <w:rPr>
          <w:rFonts w:hint="eastAsia" w:ascii="仿宋_GB2312" w:eastAsia="仿宋_GB2312"/>
          <w:sz w:val="32"/>
          <w:szCs w:val="32"/>
          <w:lang w:val="en-US" w:eastAsia="zh-CN"/>
        </w:rPr>
      </w:pPr>
    </w:p>
    <w:p>
      <w:pPr>
        <w:pStyle w:val="3"/>
        <w:wordWrap w:val="0"/>
        <w:jc w:val="both"/>
        <w:rPr>
          <w:rFonts w:hAnsi="宋体"/>
        </w:rPr>
      </w:pPr>
      <w:r>
        <w:rPr>
          <w:rFonts w:ascii="黑体" w:hAnsi="宋体" w:eastAsia="黑体" w:cs="黑体"/>
          <w:sz w:val="36"/>
          <w:szCs w:val="36"/>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txbx>
                        <w:txbxContent>
                          <w:p/>
                        </w:txbxContent>
                      </wps:txbx>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oViif88AAAAFAQAADwAAAAAAAAABACAAAAAiAAAAZHJzL2Rv&#10;d25yZXYueG1sUEsBAhQAFAAAAAgAh07iQLiafJyYAQAAJQMAAA4AAAAAAAAAAQAgAAAAHgEAAGRy&#10;cy9lMm9Eb2MueG1sUEsFBgAAAAAGAAYAWQEAACgFAAAAAA==&#10;">
                <v:fill on="f" focussize="0,0"/>
                <v:stroke on="f"/>
                <v:imagedata o:title=""/>
                <o:lock v:ext="edit" aspectratio="f"/>
                <v:textbox>
                  <w:txbxContent>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- 9 -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82115"/>
    <w:rsid w:val="03F82115"/>
    <w:rsid w:val="171C1742"/>
    <w:rsid w:val="49D623C7"/>
    <w:rsid w:val="52400FFF"/>
    <w:rsid w:val="555030CE"/>
    <w:rsid w:val="58A965EB"/>
    <w:rsid w:val="5FEA42D1"/>
    <w:rsid w:val="64DF6984"/>
    <w:rsid w:val="6B29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Plain Text"/>
    <w:basedOn w:val="1"/>
    <w:qFormat/>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2020-11-02T06:23:00Z</dcterms:created>
  <dc:creator>黄春枚</dc:creator>
  <cp:lastModifiedBy>黄春枚</cp:lastModifiedBy>
  <cp:lastPrinted>2020-11-02T07:23:00Z</cp:lastPrinted>
  <dcterms:modified xsi:type="dcterms:W3CDTF">2020-11-02T08:36:21Z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