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4"/>
          <w:szCs w:val="44"/>
        </w:rPr>
      </w:pPr>
    </w:p>
    <w:p>
      <w:pPr>
        <w:tabs>
          <w:tab w:val="left" w:pos="11340"/>
        </w:tabs>
        <w:spacing w:line="520" w:lineRule="exact"/>
        <w:rPr>
          <w:rFonts w:hint="default" w:ascii="Times New Roman" w:hAnsi="Times New Roman" w:eastAsia="方正小标宋_GBK" w:cs="Times New Roman"/>
          <w:b/>
          <w:bCs/>
          <w:spacing w:val="3"/>
          <w:sz w:val="48"/>
        </w:rPr>
      </w:pPr>
      <w:r>
        <w:rPr>
          <w:rFonts w:hint="default" w:ascii="Times New Roman" w:hAnsi="Times New Roman" w:eastAsia="方正小标宋_GBK" w:cs="Times New Roman"/>
          <w:b/>
          <w:bCs/>
          <w:spacing w:val="3"/>
          <w:sz w:val="44"/>
          <w:szCs w:val="44"/>
        </w:rPr>
        <w:t>惠州市国有建设用地使用权网上挂牌</w:t>
      </w:r>
      <w:r>
        <w:rPr>
          <w:rFonts w:hint="default" w:ascii="Times New Roman" w:hAnsi="Times New Roman" w:eastAsia="方正小标宋_GBK" w:cs="Times New Roman"/>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027</w:t>
      </w:r>
      <w:r>
        <w:rPr>
          <w:rFonts w:hint="eastAsia" w:ascii="仿宋_GB2312" w:eastAsia="仿宋_GB2312"/>
          <w:sz w:val="32"/>
          <w:szCs w:val="32"/>
        </w:rPr>
        <w:t>号</w:t>
      </w:r>
    </w:p>
    <w:p>
      <w:pPr>
        <w:spacing w:line="520" w:lineRule="exact"/>
        <w:ind w:firstLine="640" w:firstLineChars="200"/>
        <w:rPr>
          <w:rFonts w:hint="default"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二、网上挂牌竞买时间为20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时至20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三、挂牌起始价为人民币</w:t>
      </w:r>
      <w:r>
        <w:rPr>
          <w:rFonts w:hint="default" w:ascii="仿宋_GB2312" w:hAnsi="仿宋_GB2312" w:eastAsia="仿宋_GB2312" w:cs="仿宋_GB2312"/>
          <w:sz w:val="32"/>
          <w:szCs w:val="32"/>
          <w:lang w:val="en-US" w:eastAsia="zh-CN"/>
        </w:rPr>
        <w:t>1436</w:t>
      </w:r>
      <w:r>
        <w:rPr>
          <w:rFonts w:hint="default" w:ascii="仿宋_GB2312" w:hAnsi="仿宋_GB2312" w:eastAsia="仿宋_GB2312" w:cs="仿宋_GB2312"/>
          <w:sz w:val="32"/>
          <w:szCs w:val="32"/>
        </w:rPr>
        <w:t>万元,每次报价加价幅度为人民币</w:t>
      </w:r>
      <w:r>
        <w:rPr>
          <w:rFonts w:hint="default" w:ascii="仿宋_GB2312" w:hAnsi="仿宋_GB2312" w:eastAsia="仿宋_GB2312" w:cs="仿宋_GB2312"/>
          <w:sz w:val="32"/>
          <w:szCs w:val="32"/>
          <w:lang w:val="en-US" w:eastAsia="zh-CN"/>
        </w:rPr>
        <w:t>50</w:t>
      </w:r>
      <w:r>
        <w:rPr>
          <w:rFonts w:hint="default"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rPr>
        <w:t>（即竞得人必须是新公司的唯一股东）</w:t>
      </w:r>
      <w:r>
        <w:rPr>
          <w:rFonts w:hint="default" w:ascii="仿宋_GB2312" w:hAnsi="仿宋_GB2312" w:eastAsia="仿宋_GB2312" w:cs="仿宋_GB2312"/>
          <w:sz w:val="3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五、该宗地竞买保证金可用人民币及外币（暂限于美元、港币）支付。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六、申请人应具备的其他条件：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（一）缴交竞买保证金</w:t>
      </w:r>
      <w:r>
        <w:rPr>
          <w:rFonts w:hint="default" w:ascii="仿宋_GB2312" w:hAnsi="仿宋_GB2312" w:eastAsia="仿宋_GB2312" w:cs="仿宋_GB2312"/>
          <w:sz w:val="32"/>
          <w:szCs w:val="32"/>
          <w:lang w:val="en-US" w:eastAsia="zh-CN"/>
        </w:rPr>
        <w:t>431</w:t>
      </w:r>
      <w:r>
        <w:rPr>
          <w:rFonts w:hint="default" w:ascii="仿宋_GB2312" w:hAnsi="仿宋_GB2312" w:eastAsia="仿宋_GB2312" w:cs="仿宋_GB2312"/>
          <w:sz w:val="32"/>
          <w:szCs w:val="32"/>
          <w:lang w:eastAsia="zh-CN"/>
        </w:rPr>
        <w:t>万元人民币</w:t>
      </w:r>
      <w:r>
        <w:rPr>
          <w:rFonts w:hint="eastAsia" w:ascii="仿宋_GB2312" w:hAnsi="仿宋_GB2312" w:eastAsia="仿宋_GB2312" w:cs="仿宋_GB2312"/>
          <w:sz w:val="32"/>
          <w:szCs w:val="32"/>
          <w:lang w:val="en-US" w:eastAsia="zh-CN"/>
        </w:rPr>
        <w:t>,如以外币缴交竞买保证金的，须缴交美元 62 万元或港币 480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二</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存在下列违法违规违约行为之一的企业及其控股股东，不得参与竞买上述地块：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1、存在伪造公文骗取用地和非法倒卖土地等犯罪行为的；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2、存在非法转让土地使用权等违法行为的；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5、至报名日止仍拖欠政府地价款的;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6、被列入问题楼盘开发企业黑名单的;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7、存在其它被禁止竞买土地行为的。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default"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hint="default"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w:t>
      </w:r>
      <w:r>
        <w:rPr>
          <w:rFonts w:hint="default"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十三、其它需要公告的事项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（一）开发投资总额不少于</w:t>
      </w:r>
      <w:r>
        <w:rPr>
          <w:rFonts w:hint="default" w:ascii="仿宋_GB2312" w:hAnsi="仿宋_GB2312" w:eastAsia="仿宋_GB2312" w:cs="仿宋_GB2312"/>
          <w:sz w:val="32"/>
          <w:szCs w:val="32"/>
          <w:lang w:val="en-US" w:eastAsia="zh-CN"/>
        </w:rPr>
        <w:t>2300</w:t>
      </w:r>
      <w:r>
        <w:rPr>
          <w:rFonts w:hint="default" w:ascii="仿宋_GB2312" w:hAnsi="仿宋_GB2312" w:eastAsia="仿宋_GB2312" w:cs="仿宋_GB2312"/>
          <w:sz w:val="32"/>
          <w:szCs w:val="32"/>
        </w:rPr>
        <w:t>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default" w:ascii="仿宋_GB2312" w:hAnsi="仿宋_GB2312" w:eastAsia="仿宋_GB2312" w:cs="仿宋_GB2312"/>
          <w:sz w:val="32"/>
          <w:szCs w:val="32"/>
        </w:rPr>
        <w:t>竞得人在用地红线内开发建设必须符合城市规划要求，必须按《关于JD102-05地块内1387平方米、1421平方米用地规划要点的函》（惠市规建函〔2018〕1903号）及《关于核实JD102-05地块规划条件的复函》规划控制指标要求及有关规定进行规划设计。该宗地紧邻市政道路，在满足道路退让要求后，不具备独立开发条件，须与惠市规建函〔2018〕1903号</w:t>
      </w:r>
      <w:r>
        <w:rPr>
          <w:rFonts w:hint="eastAsia" w:ascii="仿宋_GB2312" w:hAnsi="仿宋_GB2312" w:eastAsia="仿宋_GB2312" w:cs="仿宋_GB2312"/>
          <w:sz w:val="32"/>
          <w:szCs w:val="32"/>
          <w:lang w:eastAsia="zh-CN"/>
        </w:rPr>
        <w:t>文所述权属用地统一规划、统一建设</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default"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default" w:ascii="仿宋_GB2312" w:hAnsi="仿宋_GB2312" w:eastAsia="仿宋_GB2312" w:cs="仿宋_GB2312"/>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（一）惠州市自然资源局用地科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地址：惠州市江北三新南路7号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胡先生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联系电话：（0752）2896</w:t>
      </w:r>
      <w:r>
        <w:rPr>
          <w:rFonts w:hint="eastAsia" w:ascii="仿宋_GB2312" w:hAnsi="仿宋_GB2312" w:eastAsia="仿宋_GB2312" w:cs="仿宋_GB2312"/>
          <w:sz w:val="32"/>
          <w:szCs w:val="32"/>
          <w:lang w:val="en-US" w:eastAsia="zh-CN"/>
        </w:rPr>
        <w:t>286</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惠州市公共资源交易中心土地矿业交易部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联系地址：广东省惠州市江北文华一路2号大隆大厦6楼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联系人：袁小姐、黄小姐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广东省土地市场网：</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"http://www.landgd.com"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http://www.landgd.com</w:t>
      </w:r>
      <w:r>
        <w:rPr>
          <w:rFonts w:hint="default"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惠州市公共资源交易中心网：</w:t>
      </w:r>
      <w:r>
        <w:rPr>
          <w:rFonts w:hint="default" w:ascii="仿宋_GB2312" w:hAnsi="仿宋_GB2312" w:eastAsia="仿宋_GB2312" w:cs="仿宋_GB2312"/>
          <w:sz w:val="32"/>
          <w:szCs w:val="32"/>
        </w:rPr>
        <w:fldChar w:fldCharType="begin"/>
      </w:r>
      <w:r>
        <w:rPr>
          <w:rFonts w:hint="default" w:ascii="仿宋_GB2312" w:hAnsi="仿宋_GB2312" w:eastAsia="仿宋_GB2312" w:cs="仿宋_GB2312"/>
          <w:sz w:val="32"/>
          <w:szCs w:val="32"/>
        </w:rPr>
        <w:instrText xml:space="preserve"> HYPERLINK "http://zyjy.huizhou.gov.cn" </w:instrText>
      </w:r>
      <w:r>
        <w:rPr>
          <w:rFonts w:hint="default" w:ascii="仿宋_GB2312" w:hAnsi="仿宋_GB2312" w:eastAsia="仿宋_GB2312" w:cs="仿宋_GB2312"/>
          <w:sz w:val="32"/>
          <w:szCs w:val="32"/>
        </w:rPr>
        <w:fldChar w:fldCharType="separate"/>
      </w:r>
      <w:r>
        <w:rPr>
          <w:rFonts w:hint="default" w:ascii="仿宋_GB2312" w:hAnsi="仿宋_GB2312" w:eastAsia="仿宋_GB2312" w:cs="仿宋_GB2312"/>
          <w:sz w:val="32"/>
          <w:szCs w:val="32"/>
        </w:rPr>
        <w:t>http://zyjy.huizhou.gov.cn</w:t>
      </w:r>
      <w:r>
        <w:rPr>
          <w:rFonts w:hint="default"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惠州日报。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数字证书办理地址：惠州市江北云山西路二号帝景国际商务中心七层18-22房。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联系电话：0752-2898481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rPr>
      </w:pPr>
    </w:p>
    <w:p>
      <w:pPr>
        <w:spacing w:line="520" w:lineRule="exact"/>
        <w:ind w:right="640" w:firstLine="5033" w:firstLineChars="1573"/>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惠州市自然资源局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惠州市公共资源交易中心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2020年8月14日</w:t>
      </w: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w:t>
      </w:r>
    </w:p>
    <w:p>
      <w:pPr>
        <w:tabs>
          <w:tab w:val="left" w:pos="9720"/>
        </w:tabs>
        <w:spacing w:line="360" w:lineRule="auto"/>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网上挂牌出让地块规划建设指标</w:t>
      </w:r>
    </w:p>
    <w:p>
      <w:pPr>
        <w:tabs>
          <w:tab w:val="left" w:pos="9720"/>
        </w:tabs>
        <w:spacing w:line="360" w:lineRule="auto"/>
        <w:jc w:val="center"/>
        <w:rPr>
          <w:rFonts w:hint="default" w:ascii="Times New Roman" w:hAnsi="Times New Roman" w:eastAsia="方正小标宋_GBK" w:cs="Times New Roman"/>
          <w:b/>
          <w:sz w:val="36"/>
          <w:szCs w:val="36"/>
        </w:rPr>
      </w:pPr>
    </w:p>
    <w:tbl>
      <w:tblPr>
        <w:tblStyle w:val="7"/>
        <w:tblW w:w="9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915"/>
        <w:gridCol w:w="975"/>
        <w:gridCol w:w="915"/>
        <w:gridCol w:w="1365"/>
        <w:gridCol w:w="855"/>
        <w:gridCol w:w="1545"/>
        <w:gridCol w:w="1298"/>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2" w:hRule="atLeast"/>
          <w:jc w:val="center"/>
        </w:trPr>
        <w:tc>
          <w:tcPr>
            <w:tcW w:w="105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91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97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9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5063" w:type="dxa"/>
            <w:gridSpan w:val="4"/>
            <w:vAlign w:val="center"/>
          </w:tcPr>
          <w:p>
            <w:pPr>
              <w:adjustRightInd w:val="0"/>
              <w:snapToGrid w:val="0"/>
              <w:spacing w:line="320" w:lineRule="exact"/>
              <w:ind w:left="-30" w:leftChars="-51" w:hanging="92" w:hangingChars="38"/>
              <w:jc w:val="center"/>
              <w:rPr>
                <w:rFonts w:hint="eastAsia" w:ascii="仿宋_GB2312" w:eastAsia="仿宋_GB2312"/>
                <w:b/>
                <w:bCs/>
                <w:szCs w:val="21"/>
              </w:rPr>
            </w:pPr>
            <w:r>
              <w:rPr>
                <w:rFonts w:hint="eastAsia" w:ascii="仿宋_GB2312" w:eastAsia="仿宋_GB2312"/>
                <w:b/>
                <w:bCs/>
                <w:szCs w:val="21"/>
              </w:rPr>
              <w:t>规划指标要求</w:t>
            </w:r>
          </w:p>
        </w:tc>
        <w:tc>
          <w:tcPr>
            <w:tcW w:w="956" w:type="dxa"/>
            <w:vMerge w:val="restart"/>
            <w:vAlign w:val="center"/>
          </w:tcPr>
          <w:p>
            <w:pPr>
              <w:adjustRightInd w:val="0"/>
              <w:snapToGrid w:val="0"/>
              <w:spacing w:line="320" w:lineRule="exact"/>
              <w:ind w:left="-30" w:leftChars="-51" w:hanging="92" w:hangingChars="38"/>
              <w:jc w:val="center"/>
              <w:rPr>
                <w:rFonts w:hint="eastAsia" w:ascii="仿宋_GB2312" w:eastAsia="仿宋_GB2312"/>
                <w:b/>
                <w:bCs/>
                <w:szCs w:val="21"/>
              </w:rPr>
            </w:pPr>
            <w:r>
              <w:rPr>
                <w:rFonts w:hint="eastAsia" w:ascii="仿宋_GB2312" w:eastAsia="仿宋_GB2312"/>
                <w:b/>
                <w:bCs/>
                <w:szCs w:val="21"/>
              </w:rPr>
              <w:t>出让</w:t>
            </w:r>
          </w:p>
          <w:p>
            <w:pPr>
              <w:adjustRightInd w:val="0"/>
              <w:snapToGrid w:val="0"/>
              <w:spacing w:line="320" w:lineRule="exact"/>
              <w:ind w:left="-30" w:leftChars="-51" w:hanging="92" w:hangingChars="38"/>
              <w:jc w:val="center"/>
              <w:rPr>
                <w:rFonts w:hint="eastAsia" w:ascii="仿宋_GB2312" w:eastAsia="仿宋_GB2312"/>
                <w:b/>
                <w:bCs/>
                <w:szCs w:val="21"/>
              </w:rPr>
            </w:pPr>
            <w:r>
              <w:rPr>
                <w:rFonts w:hint="eastAsia" w:ascii="仿宋_GB2312" w:eastAsia="仿宋_GB2312"/>
                <w:b/>
                <w:bCs/>
                <w:szCs w:val="21"/>
              </w:rPr>
              <w:t>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1055" w:type="dxa"/>
            <w:vMerge w:val="continue"/>
            <w:vAlign w:val="center"/>
          </w:tcPr>
          <w:p>
            <w:pPr>
              <w:adjustRightInd w:val="0"/>
              <w:snapToGrid w:val="0"/>
              <w:spacing w:line="320" w:lineRule="exact"/>
              <w:jc w:val="center"/>
              <w:rPr>
                <w:rFonts w:hint="eastAsia" w:ascii="仿宋_GB2312" w:eastAsia="仿宋_GB2312"/>
                <w:b/>
                <w:bCs/>
              </w:rPr>
            </w:pPr>
          </w:p>
        </w:tc>
        <w:tc>
          <w:tcPr>
            <w:tcW w:w="915" w:type="dxa"/>
            <w:vMerge w:val="continue"/>
            <w:vAlign w:val="center"/>
          </w:tcPr>
          <w:p>
            <w:pPr>
              <w:adjustRightInd w:val="0"/>
              <w:snapToGrid w:val="0"/>
              <w:spacing w:line="320" w:lineRule="exact"/>
              <w:jc w:val="center"/>
              <w:rPr>
                <w:rFonts w:hint="eastAsia" w:ascii="仿宋_GB2312" w:eastAsia="仿宋_GB2312"/>
                <w:b/>
                <w:bCs/>
              </w:rPr>
            </w:pPr>
          </w:p>
        </w:tc>
        <w:tc>
          <w:tcPr>
            <w:tcW w:w="975" w:type="dxa"/>
            <w:vMerge w:val="continue"/>
            <w:vAlign w:val="center"/>
          </w:tcPr>
          <w:p>
            <w:pPr>
              <w:adjustRightInd w:val="0"/>
              <w:snapToGrid w:val="0"/>
              <w:spacing w:line="320" w:lineRule="exact"/>
              <w:jc w:val="center"/>
              <w:rPr>
                <w:rFonts w:hint="eastAsia" w:ascii="仿宋_GB2312" w:eastAsia="仿宋_GB2312"/>
                <w:b/>
                <w:bCs/>
              </w:rPr>
            </w:pPr>
          </w:p>
        </w:tc>
        <w:tc>
          <w:tcPr>
            <w:tcW w:w="915" w:type="dxa"/>
            <w:vMerge w:val="continue"/>
            <w:vAlign w:val="center"/>
          </w:tcPr>
          <w:p>
            <w:pPr>
              <w:adjustRightInd w:val="0"/>
              <w:snapToGrid w:val="0"/>
              <w:spacing w:line="320" w:lineRule="exact"/>
              <w:jc w:val="center"/>
              <w:rPr>
                <w:rFonts w:hint="eastAsia" w:ascii="仿宋_GB2312" w:eastAsia="仿宋_GB2312"/>
                <w:b/>
                <w:bCs/>
              </w:rPr>
            </w:pPr>
          </w:p>
        </w:tc>
        <w:tc>
          <w:tcPr>
            <w:tcW w:w="1365"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855"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容积率</w:t>
            </w:r>
          </w:p>
        </w:tc>
        <w:tc>
          <w:tcPr>
            <w:tcW w:w="1545" w:type="dxa"/>
            <w:vAlign w:val="center"/>
          </w:tcPr>
          <w:p>
            <w:pPr>
              <w:spacing w:line="320" w:lineRule="exact"/>
              <w:ind w:left="44" w:right="-60" w:rightChars="-25" w:hanging="51"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298" w:type="dxa"/>
            <w:vAlign w:val="center"/>
          </w:tcPr>
          <w:p>
            <w:pPr>
              <w:adjustRightInd w:val="0"/>
              <w:snapToGrid w:val="0"/>
              <w:spacing w:line="320" w:lineRule="exact"/>
              <w:ind w:left="-30" w:leftChars="-51" w:hanging="92" w:hangingChars="38"/>
              <w:jc w:val="center"/>
              <w:rPr>
                <w:rFonts w:hint="eastAsia" w:ascii="仿宋_GB2312" w:eastAsia="仿宋_GB2312"/>
                <w:b/>
                <w:bCs/>
              </w:rPr>
            </w:pPr>
            <w:r>
              <w:rPr>
                <w:rFonts w:hint="eastAsia" w:ascii="仿宋_GB2312" w:eastAsia="仿宋_GB2312"/>
                <w:b/>
                <w:bCs/>
                <w:szCs w:val="21"/>
              </w:rPr>
              <w:t>适建性</w:t>
            </w:r>
          </w:p>
        </w:tc>
        <w:tc>
          <w:tcPr>
            <w:tcW w:w="956" w:type="dxa"/>
            <w:vMerge w:val="continue"/>
            <w:vAlign w:val="center"/>
          </w:tcPr>
          <w:p>
            <w:pPr>
              <w:adjustRightInd w:val="0"/>
              <w:snapToGrid w:val="0"/>
              <w:spacing w:line="32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3" w:hRule="atLeast"/>
          <w:jc w:val="center"/>
        </w:trPr>
        <w:tc>
          <w:tcPr>
            <w:tcW w:w="1055" w:type="dxa"/>
            <w:tcMar>
              <w:left w:w="0" w:type="dxa"/>
              <w:right w:w="0" w:type="dxa"/>
            </w:tcMar>
            <w:vAlign w:val="center"/>
          </w:tcPr>
          <w:p>
            <w:pPr>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GP2020</w:t>
            </w:r>
          </w:p>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-27</w:t>
            </w:r>
            <w:bookmarkStart w:id="0" w:name="_GoBack"/>
            <w:bookmarkEnd w:id="0"/>
          </w:p>
        </w:tc>
        <w:tc>
          <w:tcPr>
            <w:tcW w:w="915" w:type="dxa"/>
            <w:vAlign w:val="center"/>
          </w:tcPr>
          <w:p>
            <w:pPr>
              <w:jc w:val="center"/>
              <w:rPr>
                <w:rFonts w:hint="default" w:ascii="仿宋" w:hAnsi="仿宋" w:eastAsia="仿宋"/>
                <w:lang w:val="en-US" w:eastAsia="zh-CN"/>
              </w:rPr>
            </w:pPr>
            <w:r>
              <w:rPr>
                <w:rFonts w:hint="eastAsia" w:ascii="Times New Roman" w:hAnsi="Times New Roman" w:eastAsia="仿宋" w:cs="Times New Roman"/>
                <w:lang w:val="en-US" w:eastAsia="zh-CN"/>
              </w:rPr>
              <w:t>惠州市惠城区</w:t>
            </w:r>
            <w:r>
              <w:rPr>
                <w:rFonts w:hint="default" w:ascii="Times New Roman" w:hAnsi="Times New Roman" w:eastAsia="仿宋" w:cs="Times New Roman"/>
                <w:lang w:val="en-US" w:eastAsia="zh-CN"/>
              </w:rPr>
              <w:t>水口西区</w:t>
            </w:r>
          </w:p>
        </w:tc>
        <w:tc>
          <w:tcPr>
            <w:tcW w:w="975" w:type="dxa"/>
            <w:vAlign w:val="center"/>
          </w:tcPr>
          <w:p>
            <w:pPr>
              <w:jc w:val="center"/>
              <w:rPr>
                <w:rFonts w:hint="default" w:ascii="仿宋" w:hAnsi="仿宋" w:eastAsia="仿宋"/>
                <w:lang w:val="en-US" w:eastAsia="zh-CN"/>
              </w:rPr>
            </w:pPr>
            <w:r>
              <w:rPr>
                <w:rFonts w:hint="default" w:ascii="Times New Roman" w:hAnsi="Times New Roman" w:eastAsia="仿宋" w:cs="Times New Roman"/>
                <w:lang w:val="en-US" w:eastAsia="zh-CN"/>
              </w:rPr>
              <w:t>JD102-05</w:t>
            </w:r>
          </w:p>
        </w:tc>
        <w:tc>
          <w:tcPr>
            <w:tcW w:w="915" w:type="dxa"/>
            <w:tcMar>
              <w:left w:w="0" w:type="dxa"/>
              <w:right w:w="0" w:type="dxa"/>
            </w:tcMar>
            <w:vAlign w:val="center"/>
          </w:tcPr>
          <w:p>
            <w:pPr>
              <w:jc w:val="center"/>
              <w:rPr>
                <w:rFonts w:hint="eastAsia" w:ascii="仿宋_GB2312" w:hAnsi="Times New Roman" w:eastAsia="仿宋_GB2312"/>
                <w:szCs w:val="21"/>
              </w:rPr>
            </w:pPr>
            <w:r>
              <w:rPr>
                <w:rFonts w:hint="eastAsia" w:ascii="Times New Roman" w:hAnsi="Times New Roman" w:eastAsia="仿宋_GB2312" w:cs="Times New Roman"/>
                <w:sz w:val="24"/>
                <w:lang w:eastAsia="zh-CN"/>
              </w:rPr>
              <w:t>城镇住宅及商服</w:t>
            </w:r>
          </w:p>
        </w:tc>
        <w:tc>
          <w:tcPr>
            <w:tcW w:w="1365" w:type="dxa"/>
            <w:vAlign w:val="center"/>
          </w:tcPr>
          <w:p>
            <w:pPr>
              <w:jc w:val="center"/>
              <w:rPr>
                <w:rFonts w:hint="default" w:ascii="仿宋_GB2312" w:hAnsi="Times New Roman" w:eastAsia="仿宋_GB2312"/>
                <w:szCs w:val="21"/>
                <w:lang w:val="en-US" w:eastAsia="zh-CN"/>
              </w:rPr>
            </w:pPr>
            <w:r>
              <w:rPr>
                <w:rFonts w:hint="eastAsia" w:ascii="仿宋" w:hAnsi="仿宋" w:eastAsia="仿宋"/>
                <w:lang w:val="en-US" w:eastAsia="zh-CN"/>
              </w:rPr>
              <w:t>1387.44</w:t>
            </w:r>
          </w:p>
        </w:tc>
        <w:tc>
          <w:tcPr>
            <w:tcW w:w="855" w:type="dxa"/>
            <w:vAlign w:val="center"/>
          </w:tcPr>
          <w:p>
            <w:pPr>
              <w:ind w:left="-103"/>
              <w:jc w:val="center"/>
              <w:rPr>
                <w:rFonts w:hint="eastAsia" w:ascii="仿宋_GB2312" w:hAnsi="Times New Roman" w:eastAsia="仿宋_GB2312"/>
                <w:szCs w:val="21"/>
                <w:lang w:val="en-US"/>
              </w:rPr>
            </w:pPr>
            <w:r>
              <w:rPr>
                <w:rFonts w:hint="default" w:ascii="Times New Roman" w:hAnsi="Times New Roman" w:eastAsia="仿宋_GB2312" w:cs="Times New Roman"/>
                <w:sz w:val="24"/>
              </w:rPr>
              <w:t>≤2.</w:t>
            </w:r>
            <w:r>
              <w:rPr>
                <w:rFonts w:hint="eastAsia" w:ascii="Times New Roman" w:hAnsi="Times New Roman" w:eastAsia="仿宋_GB2312" w:cs="Times New Roman"/>
                <w:sz w:val="24"/>
                <w:lang w:val="en-US" w:eastAsia="zh-CN"/>
              </w:rPr>
              <w:t>3</w:t>
            </w:r>
          </w:p>
        </w:tc>
        <w:tc>
          <w:tcPr>
            <w:tcW w:w="1545" w:type="dxa"/>
            <w:vAlign w:val="center"/>
          </w:tcPr>
          <w:p>
            <w:pPr>
              <w:jc w:val="center"/>
              <w:rPr>
                <w:rFonts w:hint="eastAsia" w:ascii="仿宋_GB2312" w:hAnsi="Times New Roman" w:eastAsia="仿宋"/>
                <w:szCs w:val="21"/>
                <w:lang w:val="en-US" w:eastAsia="zh-CN"/>
              </w:rPr>
            </w:pPr>
            <w:r>
              <w:rPr>
                <w:rFonts w:hint="default" w:ascii="Times New Roman" w:hAnsi="Times New Roman" w:eastAsia="仿宋" w:cs="Times New Roman"/>
              </w:rPr>
              <w:t>≤</w:t>
            </w:r>
            <w:r>
              <w:rPr>
                <w:rFonts w:hint="eastAsia" w:ascii="Times New Roman" w:hAnsi="Times New Roman" w:eastAsia="仿宋" w:cs="Times New Roman"/>
                <w:lang w:val="en-US" w:eastAsia="zh-CN"/>
              </w:rPr>
              <w:t>3190.1</w:t>
            </w:r>
            <w:r>
              <w:rPr>
                <w:rFonts w:hint="default" w:ascii="Times New Roman" w:hAnsi="Times New Roman" w:eastAsia="仿宋" w:cs="Times New Roman"/>
                <w:lang w:val="en-US" w:eastAsia="zh-CN"/>
              </w:rPr>
              <w:t>(</w:t>
            </w:r>
            <w:r>
              <w:rPr>
                <w:rFonts w:hint="default" w:ascii="Times New Roman" w:hAnsi="Times New Roman" w:eastAsia="仿宋_GB2312" w:cs="Times New Roman"/>
                <w:sz w:val="24"/>
              </w:rPr>
              <w:t>其中商业</w:t>
            </w:r>
            <w:r>
              <w:rPr>
                <w:rFonts w:hint="eastAsia" w:ascii="Times New Roman" w:hAnsi="Times New Roman" w:eastAsia="仿宋_GB2312" w:cs="Times New Roman"/>
                <w:sz w:val="24"/>
                <w:lang w:eastAsia="zh-CN"/>
              </w:rPr>
              <w:t>、服务业</w:t>
            </w:r>
            <w:r>
              <w:rPr>
                <w:rFonts w:hint="default" w:ascii="Times New Roman" w:hAnsi="Times New Roman" w:eastAsia="仿宋_GB2312" w:cs="Times New Roman"/>
                <w:sz w:val="24"/>
              </w:rPr>
              <w:t>建筑面积≤</w:t>
            </w:r>
            <w:r>
              <w:rPr>
                <w:rFonts w:hint="eastAsia" w:ascii="Times New Roman" w:hAnsi="Times New Roman" w:eastAsia="仿宋_GB2312" w:cs="Times New Roman"/>
                <w:sz w:val="24"/>
                <w:lang w:val="en-US" w:eastAsia="zh-CN"/>
              </w:rPr>
              <w:t>320</w:t>
            </w:r>
            <w:r>
              <w:rPr>
                <w:rFonts w:hint="default" w:ascii="Times New Roman" w:hAnsi="Times New Roman" w:eastAsia="仿宋_GB2312" w:cs="Times New Roman"/>
                <w:sz w:val="24"/>
              </w:rPr>
              <w:t>）</w:t>
            </w:r>
          </w:p>
        </w:tc>
        <w:tc>
          <w:tcPr>
            <w:tcW w:w="1298" w:type="dxa"/>
            <w:vAlign w:val="center"/>
          </w:tcPr>
          <w:p>
            <w:pPr>
              <w:jc w:val="center"/>
              <w:rPr>
                <w:rFonts w:hint="default" w:ascii="仿宋_GB2312" w:hAnsi="Times New Roman" w:eastAsia="仿宋"/>
                <w:szCs w:val="21"/>
                <w:lang w:val="en-US" w:eastAsia="zh-CN"/>
              </w:rPr>
            </w:pPr>
            <w:r>
              <w:rPr>
                <w:rFonts w:hint="default" w:ascii="Times New Roman" w:hAnsi="Times New Roman" w:eastAsia="仿宋_GB2312" w:cs="Times New Roman"/>
                <w:sz w:val="24"/>
              </w:rPr>
              <w:t>住宅和商业及配套设施</w:t>
            </w:r>
          </w:p>
        </w:tc>
        <w:tc>
          <w:tcPr>
            <w:tcW w:w="956" w:type="dxa"/>
            <w:vAlign w:val="center"/>
          </w:tcPr>
          <w:p>
            <w:pPr>
              <w:jc w:val="center"/>
              <w:rPr>
                <w:rFonts w:hint="eastAsia" w:ascii="仿宋_GB2312" w:hAnsi="Times New Roman" w:eastAsia="仿宋_GB2312"/>
                <w:szCs w:val="21"/>
              </w:rPr>
            </w:pPr>
            <w:r>
              <w:rPr>
                <w:rFonts w:hint="eastAsia" w:ascii="仿宋_GB2312" w:hAnsi="Times New Roman" w:eastAsia="仿宋_GB2312"/>
                <w:szCs w:val="21"/>
                <w:lang w:eastAsia="zh-CN"/>
              </w:rPr>
              <w:t>城镇</w:t>
            </w:r>
            <w:r>
              <w:rPr>
                <w:rFonts w:hint="eastAsia" w:ascii="仿宋_GB2312" w:hAnsi="Times New Roman" w:eastAsia="仿宋_GB2312"/>
                <w:szCs w:val="21"/>
              </w:rPr>
              <w:t>住宅用地70年，商服用地40年</w:t>
            </w:r>
          </w:p>
        </w:tc>
      </w:tr>
    </w:tbl>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黑体" w:cs="Times New Roman"/>
          <w:sz w:val="32"/>
          <w:szCs w:val="32"/>
        </w:rPr>
      </w:pPr>
    </w:p>
    <w:p>
      <w:pPr>
        <w:spacing w:line="360" w:lineRule="auto"/>
        <w:rPr>
          <w:rFonts w:hint="default" w:ascii="Times New Roman" w:hAnsi="Times New Roman" w:eastAsia="仿宋_GB2312" w:cs="Times New Roman"/>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rPr>
    </w:pPr>
  </w:p>
  <w:p>
    <w:pPr>
      <w:pStyle w:val="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C34A1"/>
    <w:multiLevelType w:val="singleLevel"/>
    <w:tmpl w:val="AF1C34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E17DD"/>
    <w:rsid w:val="01F62044"/>
    <w:rsid w:val="071E17DD"/>
    <w:rsid w:val="08536931"/>
    <w:rsid w:val="21D1589A"/>
    <w:rsid w:val="37D828E6"/>
    <w:rsid w:val="3FD720FB"/>
    <w:rsid w:val="455C5FD8"/>
    <w:rsid w:val="4E061AC4"/>
    <w:rsid w:val="5264625A"/>
    <w:rsid w:val="533D2E60"/>
    <w:rsid w:val="574D7C13"/>
    <w:rsid w:val="63B279E1"/>
    <w:rsid w:val="68A543A8"/>
    <w:rsid w:val="693348B2"/>
    <w:rsid w:val="6FDE5408"/>
    <w:rsid w:val="7CCA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2020-08-14T03:04:00Z</dcterms:created>
  <dc:creator>黄春枚</dc:creator>
  <cp:lastModifiedBy>黄春枚</cp:lastModifiedBy>
  <cp:lastPrinted>2020-08-14T06:12:00Z</cp:lastPrinted>
  <dcterms:modified xsi:type="dcterms:W3CDTF">2020-08-14T08:04:26Z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