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030</w:t>
      </w:r>
      <w:r>
        <w:rPr>
          <w:rFonts w:hint="eastAsia" w:ascii="仿宋_GB2312" w:eastAsia="仿宋_GB2312"/>
          <w:sz w:val="32"/>
          <w:szCs w:val="32"/>
        </w:rPr>
        <w:t>号</w:t>
      </w:r>
    </w:p>
    <w:p>
      <w:pPr>
        <w:spacing w:line="520" w:lineRule="exact"/>
        <w:ind w:firstLine="360" w:firstLineChars="200"/>
        <w:rPr>
          <w:rFonts w:hint="eastAsia" w:ascii="仿宋_GB2312" w:eastAsia="仿宋_GB2312"/>
          <w:sz w:val="18"/>
          <w:szCs w:val="18"/>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s="Times New Roman"/>
          <w:kern w:val="2"/>
          <w:sz w:val="32"/>
          <w:szCs w:val="32"/>
          <w:lang w:val="en-US" w:eastAsia="zh-CN"/>
        </w:rPr>
        <w:t>61420</w:t>
      </w:r>
      <w:r>
        <w:rPr>
          <w:rFonts w:hint="eastAsia" w:ascii="仿宋_GB2312" w:hAnsi="仿宋_GB2312" w:eastAsia="仿宋_GB2312" w:cs="仿宋_GB2312"/>
          <w:sz w:val="32"/>
          <w:szCs w:val="32"/>
        </w:rPr>
        <w:t>万元,每次报价加价幅度为人民币10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万元的整数倍。</w:t>
      </w:r>
    </w:p>
    <w:p>
      <w:pPr>
        <w:keepNext w:val="0"/>
        <w:keepLines w:val="0"/>
        <w:pageBreakBefore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rPr>
        <w:t>（即竞得人必须是新公司的唯一股东）</w:t>
      </w:r>
      <w:r>
        <w:rPr>
          <w:rFonts w:hint="default" w:ascii="仿宋_GB2312" w:hAnsi="仿宋_GB2312" w:eastAsia="仿宋_GB2312" w:cs="仿宋_GB2312"/>
          <w:sz w:val="32"/>
          <w:szCs w:val="32"/>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ascii="仿宋_GB2312" w:hAnsi="仿宋" w:eastAsia="仿宋_GB2312" w:cs="仿宋_GB2312"/>
          <w:color w:val="000000"/>
          <w:sz w:val="32"/>
          <w:szCs w:val="32"/>
          <w:lang w:val="en-US" w:eastAsia="zh-CN"/>
        </w:rPr>
        <w:t>12284</w:t>
      </w:r>
      <w:r>
        <w:rPr>
          <w:rFonts w:hint="eastAsia" w:hAnsi="仿宋_GB2312" w:cs="仿宋_GB2312"/>
          <w:szCs w:val="32"/>
        </w:rPr>
        <w:t>万元人民币，如以外币缴交竞买保证金的，须缴交美元</w:t>
      </w:r>
      <w:r>
        <w:rPr>
          <w:rFonts w:hint="eastAsia" w:hAnsi="仿宋_GB2312" w:cs="仿宋_GB2312"/>
          <w:szCs w:val="32"/>
          <w:lang w:val="en-US" w:eastAsia="zh-CN"/>
        </w:rPr>
        <w:t>1740</w:t>
      </w:r>
      <w:r>
        <w:rPr>
          <w:rFonts w:hint="eastAsia" w:hAnsi="仿宋_GB2312" w:cs="仿宋_GB2312"/>
          <w:szCs w:val="32"/>
        </w:rPr>
        <w:t>万元或港币</w:t>
      </w:r>
      <w:r>
        <w:rPr>
          <w:rFonts w:hint="eastAsia" w:hAnsi="仿宋_GB2312" w:cs="仿宋_GB2312"/>
          <w:szCs w:val="32"/>
          <w:lang w:val="en-US" w:eastAsia="zh-CN"/>
        </w:rPr>
        <w:t>13478</w:t>
      </w:r>
      <w:r>
        <w:rPr>
          <w:rFonts w:hint="eastAsia" w:hAnsi="仿宋_GB2312" w:cs="仿宋_GB2312"/>
          <w:szCs w:val="32"/>
        </w:rPr>
        <w:t>万元。</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（二）竞得人在用地红线内开发建设必须符合城市规划要求，必须按《告知书》（案卷编号：</w:t>
      </w:r>
      <w:r>
        <w:rPr>
          <w:rFonts w:hint="eastAsia" w:ascii="仿宋_GB2312" w:hAnsi="仿宋" w:eastAsia="仿宋_GB2312" w:cs="Times New Roman"/>
          <w:sz w:val="32"/>
          <w:szCs w:val="32"/>
        </w:rPr>
        <w:t>PB20</w:t>
      </w:r>
      <w:r>
        <w:rPr>
          <w:rFonts w:hint="default" w:ascii="仿宋_GB2312" w:hAnsi="仿宋" w:eastAsia="仿宋_GB2312" w:cs="Times New Roman"/>
          <w:sz w:val="32"/>
          <w:szCs w:val="32"/>
          <w:lang w:val="en-US"/>
        </w:rPr>
        <w:t>200016</w:t>
      </w:r>
      <w:r>
        <w:rPr>
          <w:rFonts w:hint="eastAsia" w:hAnsi="仿宋_GB2312" w:cs="仿宋_GB2312"/>
          <w:szCs w:val="32"/>
        </w:rPr>
        <w:t>）规划控制指标要求及有关规定进行规划设计。</w:t>
      </w:r>
    </w:p>
    <w:p>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 w:eastAsia="仿宋_GB2312" w:cs="Times New Roman"/>
          <w:sz w:val="32"/>
          <w:szCs w:val="32"/>
          <w:lang w:eastAsia="zh-CN"/>
        </w:rPr>
      </w:pPr>
      <w:r>
        <w:rPr>
          <w:rFonts w:hint="eastAsia" w:ascii="仿宋_GB2312" w:hAnsi="仿宋" w:eastAsia="仿宋_GB2312"/>
          <w:kern w:val="2"/>
          <w:sz w:val="32"/>
          <w:szCs w:val="32"/>
        </w:rPr>
        <w:t>（三）</w:t>
      </w:r>
      <w:r>
        <w:rPr>
          <w:rFonts w:hint="eastAsia" w:ascii="仿宋_GB2312" w:hAnsi="仿宋" w:eastAsia="仿宋_GB2312" w:cs="Times New Roman"/>
          <w:sz w:val="32"/>
          <w:szCs w:val="32"/>
        </w:rPr>
        <w:t>三新村A04-13地块内的配套幼儿园用地，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r>
        <w:rPr>
          <w:rFonts w:hint="eastAsia" w:ascii="仿宋_GB2312" w:hAnsi="仿宋" w:eastAsia="仿宋_GB2312" w:cs="Times New Roman"/>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 w:eastAsia="仿宋_GB2312"/>
          <w:sz w:val="32"/>
          <w:szCs w:val="32"/>
        </w:rPr>
      </w:pPr>
      <w:r>
        <w:rPr>
          <w:rFonts w:hint="eastAsia" w:ascii="仿宋_GB2312" w:hAnsi="仿宋" w:eastAsia="仿宋_GB2312" w:cs="Times New Roman"/>
          <w:sz w:val="32"/>
          <w:szCs w:val="32"/>
        </w:rPr>
        <w:t>（四）A04-13地块东南部建筑红线外的用地，属于非建设用地，应遵循土地利用</w:t>
      </w:r>
      <w:r>
        <w:rPr>
          <w:rFonts w:hint="eastAsia" w:ascii="仿宋_GB2312" w:hAnsi="仿宋" w:eastAsia="仿宋_GB2312" w:cs="Times New Roman"/>
          <w:sz w:val="32"/>
          <w:szCs w:val="32"/>
          <w:lang w:eastAsia="zh-CN"/>
        </w:rPr>
        <w:t>总体</w:t>
      </w:r>
      <w:r>
        <w:rPr>
          <w:rFonts w:hint="eastAsia" w:ascii="仿宋_GB2312" w:hAnsi="仿宋" w:eastAsia="仿宋_GB2312" w:cs="Times New Roman"/>
          <w:sz w:val="32"/>
          <w:szCs w:val="32"/>
        </w:rPr>
        <w:t>规划用途的原则，用于绿化美化环境，并作为公共开敞空间</w:t>
      </w:r>
      <w:r>
        <w:rPr>
          <w:rFonts w:hint="eastAsia" w:ascii="仿宋_GB2312" w:hAnsi="仿宋" w:eastAsia="仿宋_GB2312" w:cs="Times New Roman"/>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18"/>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）存在下列违法违规违约行为之一的企业及其控股股东，不得参与竞买上述地块：</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1、存在伪造公文骗取用地和非法倒卖土地等犯罪行为的；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2、存在非法转让土地使用权等违法行为的；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5、至报名日止仍拖欠政府地价款的;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6、被列入问题楼盘开发企业黑名单的;</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7、存在其它被禁止竞买土地行为的。</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s="Times New Roman"/>
          <w:kern w:val="2"/>
          <w:sz w:val="32"/>
          <w:szCs w:val="32"/>
          <w:lang w:val="en-US" w:eastAsia="zh-CN"/>
        </w:rPr>
        <w:t>95900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312</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kinsoku/>
        <w:wordWrap/>
        <w:overflowPunct/>
        <w:topLinePunct w:val="0"/>
        <w:autoSpaceDE/>
        <w:autoSpaceDN/>
        <w:bidi w:val="0"/>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注：本公告同时在下列网站及场所发布</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keepNext w:val="0"/>
        <w:keepLines w:val="0"/>
        <w:pageBreakBefore w:val="0"/>
        <w:kinsoku/>
        <w:wordWrap/>
        <w:overflowPunct/>
        <w:topLinePunct w:val="0"/>
        <w:autoSpaceDE/>
        <w:autoSpaceDN/>
        <w:bidi w:val="0"/>
        <w:spacing w:line="560" w:lineRule="exact"/>
        <w:ind w:right="640" w:firstLine="4640" w:firstLineChars="1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keepNext w:val="0"/>
        <w:keepLines w:val="0"/>
        <w:pageBreakBefore w:val="0"/>
        <w:kinsoku/>
        <w:wordWrap/>
        <w:overflowPunct/>
        <w:topLinePunct w:val="0"/>
        <w:autoSpaceDE/>
        <w:autoSpaceDN/>
        <w:bidi w:val="0"/>
        <w:spacing w:line="560" w:lineRule="exact"/>
        <w:ind w:right="640"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2020年8月20日</w:t>
      </w:r>
    </w:p>
    <w:p>
      <w:pPr>
        <w:keepNext w:val="0"/>
        <w:keepLines w:val="0"/>
        <w:pageBreakBefore w:val="0"/>
        <w:kinsoku/>
        <w:wordWrap/>
        <w:overflowPunct/>
        <w:topLinePunct w:val="0"/>
        <w:autoSpaceDE/>
        <w:autoSpaceDN/>
        <w:bidi w:val="0"/>
        <w:spacing w:line="560" w:lineRule="exact"/>
        <w:textAlignment w:val="auto"/>
        <w:rPr>
          <w:rFonts w:ascii="仿宋_GB2312" w:eastAsia="仿宋_GB2312"/>
          <w:sz w:val="32"/>
          <w:szCs w:val="32"/>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95"/>
        <w:gridCol w:w="675"/>
        <w:gridCol w:w="780"/>
        <w:gridCol w:w="915"/>
        <w:gridCol w:w="780"/>
        <w:gridCol w:w="750"/>
        <w:gridCol w:w="735"/>
        <w:gridCol w:w="1275"/>
        <w:gridCol w:w="1005"/>
        <w:gridCol w:w="780"/>
        <w:gridCol w:w="93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79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78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1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261"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86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795"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80" w:type="dxa"/>
            <w:vMerge w:val="continue"/>
            <w:vAlign w:val="center"/>
          </w:tcPr>
          <w:p>
            <w:pPr>
              <w:adjustRightInd w:val="0"/>
              <w:snapToGrid w:val="0"/>
              <w:spacing w:line="320" w:lineRule="exact"/>
              <w:jc w:val="center"/>
              <w:rPr>
                <w:rFonts w:hint="eastAsia" w:ascii="仿宋_GB2312" w:eastAsia="仿宋_GB2312"/>
                <w:b/>
                <w:bCs/>
              </w:rPr>
            </w:pPr>
          </w:p>
        </w:tc>
        <w:tc>
          <w:tcPr>
            <w:tcW w:w="915" w:type="dxa"/>
            <w:vMerge w:val="continue"/>
            <w:vAlign w:val="center"/>
          </w:tcPr>
          <w:p>
            <w:pPr>
              <w:adjustRightInd w:val="0"/>
              <w:snapToGrid w:val="0"/>
              <w:spacing w:line="320" w:lineRule="exact"/>
              <w:jc w:val="center"/>
              <w:rPr>
                <w:rFonts w:hint="eastAsia" w:ascii="仿宋_GB2312" w:eastAsia="仿宋_GB2312"/>
                <w:b/>
                <w:bCs/>
              </w:rPr>
            </w:pPr>
          </w:p>
        </w:tc>
        <w:tc>
          <w:tcPr>
            <w:tcW w:w="780"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5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735"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275"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05"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78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936"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86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90"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w:t>
            </w:r>
            <w:r>
              <w:rPr>
                <w:rFonts w:hint="eastAsia" w:ascii="仿宋_GB2312" w:eastAsia="仿宋_GB2312"/>
                <w:szCs w:val="21"/>
                <w:lang w:val="en-US" w:eastAsia="zh-CN"/>
              </w:rPr>
              <w:t>30</w:t>
            </w:r>
          </w:p>
        </w:tc>
        <w:tc>
          <w:tcPr>
            <w:tcW w:w="795"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szCs w:val="21"/>
                <w:lang w:eastAsia="zh-CN"/>
              </w:rPr>
              <w:t>惠州市惠城区三新村A04-13</w:t>
            </w:r>
          </w:p>
        </w:tc>
        <w:tc>
          <w:tcPr>
            <w:tcW w:w="675" w:type="dxa"/>
            <w:vAlign w:val="center"/>
          </w:tcPr>
          <w:p>
            <w:pPr>
              <w:jc w:val="center"/>
              <w:rPr>
                <w:rFonts w:hint="eastAsia" w:ascii="仿宋_GB2312" w:hAnsi="Times New Roman" w:eastAsia="仿宋_GB2312"/>
                <w:szCs w:val="21"/>
                <w:lang w:eastAsia="zh-CN"/>
              </w:rPr>
            </w:pPr>
            <w:r>
              <w:rPr>
                <w:rFonts w:hint="default" w:ascii="仿宋_GB2312" w:hAnsi="Times New Roman" w:eastAsia="仿宋_GB2312"/>
                <w:szCs w:val="21"/>
                <w:lang w:eastAsia="zh-CN"/>
              </w:rPr>
              <w:t>A04-13</w:t>
            </w:r>
          </w:p>
        </w:tc>
        <w:tc>
          <w:tcPr>
            <w:tcW w:w="780"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rPr>
              <w:t>住</w:t>
            </w:r>
            <w:r>
              <w:rPr>
                <w:rFonts w:hint="eastAsia" w:ascii="仿宋_GB2312" w:hAnsi="Times New Roman" w:eastAsia="仿宋_GB2312"/>
                <w:szCs w:val="21"/>
                <w:lang w:eastAsia="zh-CN"/>
              </w:rPr>
              <w:t>宅及商服</w:t>
            </w:r>
            <w:r>
              <w:rPr>
                <w:rFonts w:hint="eastAsia" w:ascii="仿宋_GB2312" w:hAnsi="Times New Roman" w:eastAsia="仿宋_GB2312"/>
                <w:szCs w:val="21"/>
              </w:rPr>
              <w:t>用地</w:t>
            </w:r>
          </w:p>
        </w:tc>
        <w:tc>
          <w:tcPr>
            <w:tcW w:w="915" w:type="dxa"/>
            <w:vAlign w:val="center"/>
          </w:tcPr>
          <w:p>
            <w:pPr>
              <w:adjustRightInd w:val="0"/>
              <w:snapToGrid w:val="0"/>
              <w:spacing w:line="400" w:lineRule="exact"/>
              <w:jc w:val="center"/>
              <w:rPr>
                <w:rFonts w:hint="default" w:eastAsia="仿宋_GB2312"/>
                <w:szCs w:val="21"/>
                <w:lang w:val="en-US" w:eastAsia="zh-CN"/>
              </w:rPr>
            </w:pPr>
            <w:r>
              <w:rPr>
                <w:rFonts w:hint="eastAsia" w:ascii="仿宋_GB2312" w:hAnsi="Times New Roman" w:eastAsia="仿宋_GB2312"/>
                <w:szCs w:val="21"/>
                <w:lang w:val="en-US" w:eastAsia="zh-CN"/>
              </w:rPr>
              <w:t>25152.5</w:t>
            </w:r>
          </w:p>
        </w:tc>
        <w:tc>
          <w:tcPr>
            <w:tcW w:w="78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38290.68</w:t>
            </w:r>
          </w:p>
        </w:tc>
        <w:tc>
          <w:tcPr>
            <w:tcW w:w="750" w:type="dxa"/>
            <w:vAlign w:val="center"/>
          </w:tcPr>
          <w:p>
            <w:pPr>
              <w:adjustRightInd w:val="0"/>
              <w:snapToGrid w:val="0"/>
              <w:spacing w:line="400" w:lineRule="exact"/>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≤22</w:t>
            </w:r>
          </w:p>
        </w:tc>
        <w:tc>
          <w:tcPr>
            <w:tcW w:w="735"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≤3.0</w:t>
            </w:r>
          </w:p>
        </w:tc>
        <w:tc>
          <w:tcPr>
            <w:tcW w:w="1275"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≤114873㎡(其中：商业建筑面积≤5%</w:t>
            </w:r>
            <w:r>
              <w:rPr>
                <w:rFonts w:hint="eastAsia" w:ascii="仿宋_GB2312" w:eastAsia="仿宋_GB2312"/>
                <w:szCs w:val="21"/>
                <w:lang w:val="en-US" w:eastAsia="zh-CN"/>
              </w:rPr>
              <w:t>，</w:t>
            </w:r>
            <w:r>
              <w:rPr>
                <w:rFonts w:hint="eastAsia" w:ascii="仿宋_GB2312" w:hAnsi="Times New Roman" w:eastAsia="仿宋_GB2312"/>
                <w:szCs w:val="21"/>
                <w:lang w:val="en-US" w:eastAsia="zh-CN"/>
              </w:rPr>
              <w:t>不得建设服务型公寓</w:t>
            </w:r>
            <w:r>
              <w:rPr>
                <w:rFonts w:hint="eastAsia" w:ascii="仿宋_GB2312" w:eastAsia="仿宋_GB2312"/>
                <w:szCs w:val="21"/>
                <w:lang w:val="en-US" w:eastAsia="zh-CN"/>
              </w:rPr>
              <w:t>，</w:t>
            </w:r>
            <w:r>
              <w:rPr>
                <w:rFonts w:hint="eastAsia" w:ascii="仿宋_GB2312" w:hAnsi="Times New Roman" w:eastAsia="仿宋_GB2312"/>
                <w:szCs w:val="21"/>
                <w:lang w:val="en-US" w:eastAsia="zh-CN"/>
              </w:rPr>
              <w:t>配套设施建筑面积&gt;3650㎡）</w:t>
            </w:r>
          </w:p>
        </w:tc>
        <w:tc>
          <w:tcPr>
            <w:tcW w:w="1005"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每100㎡计容积率面积≥1个，幼儿园每100个师生≥2个</w:t>
            </w:r>
          </w:p>
        </w:tc>
        <w:tc>
          <w:tcPr>
            <w:tcW w:w="780"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≥35</w:t>
            </w:r>
          </w:p>
        </w:tc>
        <w:tc>
          <w:tcPr>
            <w:tcW w:w="936"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住宅、商业及配套设施</w:t>
            </w:r>
          </w:p>
        </w:tc>
        <w:tc>
          <w:tcPr>
            <w:tcW w:w="864"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住宅70年、商服40年</w:t>
            </w:r>
          </w:p>
        </w:tc>
      </w:tr>
    </w:tbl>
    <w:p>
      <w:pPr>
        <w:tabs>
          <w:tab w:val="left" w:pos="11340"/>
        </w:tabs>
        <w:spacing w:line="60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- 9 -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E6DE8"/>
    <w:rsid w:val="1F27245D"/>
    <w:rsid w:val="28FE6DE8"/>
    <w:rsid w:val="4887085C"/>
    <w:rsid w:val="4DBD17D2"/>
    <w:rsid w:val="7F63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2020-08-19T08:21:00Z</dcterms:created>
  <dc:creator>黄春枚</dc:creator>
  <cp:lastModifiedBy>黄春枚</cp:lastModifiedBy>
  <dcterms:modified xsi:type="dcterms:W3CDTF">2020-08-20T07:49:59Z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