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hAnsi="仿宋_GB2312" w:eastAsia="仿宋_GB2312" w:cs="仿宋_GB2312"/>
          <w:sz w:val="32"/>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号</w:t>
      </w:r>
    </w:p>
    <w:p>
      <w:pPr>
        <w:spacing w:line="520" w:lineRule="exact"/>
        <w:ind w:firstLine="360" w:firstLineChars="200"/>
        <w:rPr>
          <w:rFonts w:ascii="仿宋_GB2312" w:eastAsia="仿宋_GB2312"/>
          <w:sz w:val="18"/>
          <w:szCs w:val="1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ascii="仿宋_GB2312" w:hAnsi="仿宋" w:eastAsia="仿宋_GB2312"/>
          <w:sz w:val="32"/>
          <w:szCs w:val="32"/>
        </w:rPr>
        <w:t>3600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万元的整数倍。</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w:t>
      </w:r>
      <w:r>
        <w:rPr>
          <w:rFonts w:hint="eastAsia" w:hAnsi="仿宋_GB2312" w:cs="仿宋_GB2312"/>
          <w:szCs w:val="32"/>
          <w:lang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Ansi="仿宋_GB2312" w:cs="仿宋_GB2312"/>
          <w:szCs w:val="32"/>
        </w:rPr>
      </w:pPr>
      <w:r>
        <w:rPr>
          <w:rFonts w:hint="eastAsia" w:hAnsi="仿宋_GB2312" w:cs="仿宋_GB2312"/>
          <w:szCs w:val="32"/>
        </w:rPr>
        <w:t>（一）缴交竞买保证金</w:t>
      </w:r>
      <w:r>
        <w:rPr>
          <w:rFonts w:hAnsi="仿宋"/>
          <w:kern w:val="2"/>
          <w:szCs w:val="32"/>
        </w:rPr>
        <w:t>1080</w:t>
      </w:r>
      <w:r>
        <w:rPr>
          <w:rFonts w:hint="eastAsia" w:hAnsi="仿宋_GB2312" w:cs="仿宋_GB2312"/>
          <w:szCs w:val="32"/>
        </w:rPr>
        <w:t>万元人民币，如以外币缴交竞买保证金的，须缴交美元</w:t>
      </w:r>
      <w:r>
        <w:rPr>
          <w:rFonts w:hAnsi="仿宋_GB2312" w:cs="仿宋_GB2312"/>
          <w:szCs w:val="32"/>
        </w:rPr>
        <w:t>152</w:t>
      </w:r>
      <w:r>
        <w:rPr>
          <w:rFonts w:hint="eastAsia" w:hAnsi="仿宋_GB2312" w:cs="仿宋_GB2312"/>
          <w:szCs w:val="32"/>
        </w:rPr>
        <w:t>万元或港币</w:t>
      </w:r>
      <w:r>
        <w:rPr>
          <w:rFonts w:hAnsi="仿宋" w:cs="仿宋_GB2312"/>
          <w:color w:val="000000"/>
          <w:szCs w:val="32"/>
        </w:rPr>
        <w:t>1187</w:t>
      </w:r>
      <w:r>
        <w:rPr>
          <w:rFonts w:hint="eastAsia" w:hAnsi="仿宋_GB2312" w:cs="仿宋_GB2312"/>
          <w:szCs w:val="32"/>
        </w:rPr>
        <w:t>万元。</w:t>
      </w:r>
    </w:p>
    <w:p>
      <w:pPr>
        <w:pStyle w:val="2"/>
        <w:widowControl w:val="0"/>
        <w:spacing w:line="520" w:lineRule="exact"/>
        <w:jc w:val="both"/>
        <w:rPr>
          <w:rFonts w:hAnsi="仿宋_GB2312" w:cs="仿宋_GB2312"/>
          <w:szCs w:val="32"/>
        </w:rPr>
      </w:pPr>
      <w:r>
        <w:rPr>
          <w:rFonts w:hint="eastAsia" w:hAnsi="仿宋_GB2312" w:cs="仿宋_GB2312"/>
          <w:szCs w:val="32"/>
        </w:rPr>
        <w:t>（二）根据《规划设计条件告知书》（案卷编号：PBS2019000</w:t>
      </w:r>
      <w:r>
        <w:rPr>
          <w:rFonts w:hAnsi="仿宋_GB2312" w:cs="仿宋_GB2312"/>
          <w:szCs w:val="32"/>
        </w:rPr>
        <w:t>9</w:t>
      </w:r>
      <w:r>
        <w:rPr>
          <w:rFonts w:hint="eastAsia" w:hAnsi="仿宋_GB2312" w:cs="仿宋_GB2312"/>
          <w:szCs w:val="32"/>
        </w:rPr>
        <w:t>），该宗地属于江北JBX13-34-04地块“三旧”改造项目用地中的一部分，按政策规定须公开挂牌出让。该用地不具备单独开发建设条件，应与相邻改造项目用地统一规划、统一设计、统一建设。</w:t>
      </w:r>
    </w:p>
    <w:p>
      <w:pPr>
        <w:pStyle w:val="2"/>
        <w:widowControl w:val="0"/>
        <w:spacing w:line="520" w:lineRule="exact"/>
        <w:jc w:val="both"/>
        <w:rPr>
          <w:rFonts w:hAnsi="仿宋_GB2312" w:cs="仿宋_GB2312"/>
          <w:szCs w:val="32"/>
        </w:rPr>
      </w:pPr>
      <w:r>
        <w:rPr>
          <w:rFonts w:hAnsi="仿宋_GB2312" w:cs="仿宋_GB2312"/>
          <w:szCs w:val="32"/>
        </w:rPr>
        <w:t xml:space="preserve"> (</w:t>
      </w:r>
      <w:r>
        <w:rPr>
          <w:rFonts w:hint="eastAsia" w:hAnsi="仿宋_GB2312" w:cs="仿宋_GB2312"/>
          <w:szCs w:val="32"/>
        </w:rPr>
        <w:t>三）存在下列违法违规违约行为之一的企业及其控股股东，不得参与竞买上述地块：</w:t>
      </w:r>
    </w:p>
    <w:p>
      <w:pPr>
        <w:pStyle w:val="2"/>
        <w:widowControl w:val="0"/>
        <w:spacing w:line="520" w:lineRule="exact"/>
        <w:jc w:val="both"/>
        <w:rPr>
          <w:rFonts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Ansi="仿宋_GB2312" w:cs="仿宋_GB2312"/>
          <w:szCs w:val="32"/>
        </w:rPr>
      </w:pPr>
      <w:r>
        <w:rPr>
          <w:rFonts w:hint="eastAsia" w:hAnsi="仿宋_GB2312" w:cs="仿宋_GB2312"/>
          <w:szCs w:val="32"/>
        </w:rPr>
        <w:t>7、存在其它被禁止竞买土地行为的。</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ascii="仿宋_GB2312" w:hAnsi="仿宋" w:eastAsia="仿宋_GB2312"/>
          <w:sz w:val="32"/>
          <w:szCs w:val="32"/>
        </w:rPr>
        <w:t>10510</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邱先生</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315</w:t>
      </w:r>
    </w:p>
    <w:p>
      <w:pPr>
        <w:numPr>
          <w:ilvl w:val="0"/>
          <w:numId w:val="1"/>
        </w:num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联系电话：（0752）7121026、7121042</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fldChar w:fldCharType="begin"/>
      </w:r>
      <w:r>
        <w:instrText xml:space="preserve"> HYPERLINK "http://www.landgd.com" </w:instrText>
      </w:r>
      <w: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fldChar w:fldCharType="begin"/>
      </w:r>
      <w:r>
        <w:instrText xml:space="preserve"> HYPERLINK "http://zyjy.huizhou.gov.cn" </w:instrText>
      </w:r>
      <w: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55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spacing w:line="520" w:lineRule="exact"/>
        <w:ind w:right="640" w:firstLine="4960" w:firstLineChars="15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2020年6月15日</w:t>
      </w:r>
    </w:p>
    <w:p>
      <w:pPr>
        <w:spacing w:line="360" w:lineRule="auto"/>
        <w:rPr>
          <w:rFonts w:ascii="仿宋_GB2312" w:eastAsia="仿宋_GB2312"/>
          <w:sz w:val="32"/>
          <w:szCs w:val="32"/>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pPr>
        <w:spacing w:line="360" w:lineRule="auto"/>
        <w:rPr>
          <w:rFonts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85"/>
        <w:gridCol w:w="825"/>
        <w:gridCol w:w="690"/>
        <w:gridCol w:w="1035"/>
        <w:gridCol w:w="1005"/>
        <w:gridCol w:w="615"/>
        <w:gridCol w:w="1388"/>
        <w:gridCol w:w="1701"/>
        <w:gridCol w:w="751"/>
        <w:gridCol w:w="95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765"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挂牌地块编号</w:t>
            </w:r>
          </w:p>
        </w:tc>
        <w:tc>
          <w:tcPr>
            <w:tcW w:w="585"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土地</w:t>
            </w:r>
          </w:p>
          <w:p>
            <w:pPr>
              <w:spacing w:line="320" w:lineRule="exact"/>
              <w:jc w:val="center"/>
              <w:rPr>
                <w:rFonts w:ascii="仿宋_GB2312" w:eastAsia="仿宋_GB2312"/>
                <w:b/>
                <w:bCs/>
                <w:szCs w:val="21"/>
              </w:rPr>
            </w:pPr>
            <w:r>
              <w:rPr>
                <w:rFonts w:hint="eastAsia" w:ascii="仿宋_GB2312" w:eastAsia="仿宋_GB2312"/>
                <w:b/>
                <w:bCs/>
                <w:szCs w:val="21"/>
              </w:rPr>
              <w:t>位置</w:t>
            </w:r>
          </w:p>
        </w:tc>
        <w:tc>
          <w:tcPr>
            <w:tcW w:w="825"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规划编号</w:t>
            </w:r>
          </w:p>
        </w:tc>
        <w:tc>
          <w:tcPr>
            <w:tcW w:w="690"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用途</w:t>
            </w:r>
          </w:p>
        </w:tc>
        <w:tc>
          <w:tcPr>
            <w:tcW w:w="1035"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410" w:type="dxa"/>
            <w:gridSpan w:val="6"/>
            <w:vAlign w:val="center"/>
          </w:tcPr>
          <w:p>
            <w:pPr>
              <w:adjustRightInd w:val="0"/>
              <w:snapToGrid w:val="0"/>
              <w:spacing w:line="320" w:lineRule="exact"/>
              <w:ind w:leftChars="-89" w:hanging="214" w:hangingChars="89"/>
              <w:jc w:val="center"/>
              <w:rPr>
                <w:rFonts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65" w:type="dxa"/>
            <w:vMerge w:val="continue"/>
            <w:vAlign w:val="center"/>
          </w:tcPr>
          <w:p>
            <w:pPr>
              <w:adjustRightInd w:val="0"/>
              <w:snapToGrid w:val="0"/>
              <w:spacing w:line="320" w:lineRule="exact"/>
              <w:jc w:val="center"/>
              <w:rPr>
                <w:rFonts w:ascii="仿宋_GB2312" w:eastAsia="仿宋_GB2312"/>
                <w:b/>
                <w:bCs/>
              </w:rPr>
            </w:pPr>
          </w:p>
        </w:tc>
        <w:tc>
          <w:tcPr>
            <w:tcW w:w="585" w:type="dxa"/>
            <w:vMerge w:val="continue"/>
            <w:vAlign w:val="center"/>
          </w:tcPr>
          <w:p>
            <w:pPr>
              <w:adjustRightInd w:val="0"/>
              <w:snapToGrid w:val="0"/>
              <w:spacing w:line="320" w:lineRule="exact"/>
              <w:jc w:val="center"/>
              <w:rPr>
                <w:rFonts w:ascii="仿宋_GB2312" w:eastAsia="仿宋_GB2312"/>
                <w:b/>
                <w:bCs/>
              </w:rPr>
            </w:pPr>
          </w:p>
        </w:tc>
        <w:tc>
          <w:tcPr>
            <w:tcW w:w="825" w:type="dxa"/>
            <w:vMerge w:val="continue"/>
            <w:vAlign w:val="center"/>
          </w:tcPr>
          <w:p>
            <w:pPr>
              <w:adjustRightInd w:val="0"/>
              <w:snapToGrid w:val="0"/>
              <w:spacing w:line="320" w:lineRule="exact"/>
              <w:jc w:val="center"/>
              <w:rPr>
                <w:rFonts w:ascii="仿宋_GB2312" w:eastAsia="仿宋_GB2312"/>
                <w:b/>
                <w:bCs/>
              </w:rPr>
            </w:pPr>
          </w:p>
        </w:tc>
        <w:tc>
          <w:tcPr>
            <w:tcW w:w="690" w:type="dxa"/>
            <w:vMerge w:val="continue"/>
            <w:vAlign w:val="center"/>
          </w:tcPr>
          <w:p>
            <w:pPr>
              <w:adjustRightInd w:val="0"/>
              <w:snapToGrid w:val="0"/>
              <w:spacing w:line="320" w:lineRule="exact"/>
              <w:jc w:val="center"/>
              <w:rPr>
                <w:rFonts w:ascii="仿宋_GB2312" w:eastAsia="仿宋_GB2312"/>
                <w:b/>
                <w:bCs/>
              </w:rPr>
            </w:pPr>
          </w:p>
        </w:tc>
        <w:tc>
          <w:tcPr>
            <w:tcW w:w="1035" w:type="dxa"/>
            <w:vMerge w:val="continue"/>
            <w:vAlign w:val="center"/>
          </w:tcPr>
          <w:p>
            <w:pPr>
              <w:adjustRightInd w:val="0"/>
              <w:snapToGrid w:val="0"/>
              <w:spacing w:line="320" w:lineRule="exact"/>
              <w:jc w:val="center"/>
              <w:rPr>
                <w:rFonts w:ascii="仿宋_GB2312" w:eastAsia="仿宋_GB2312"/>
                <w:b/>
                <w:bCs/>
              </w:rPr>
            </w:pPr>
          </w:p>
        </w:tc>
        <w:tc>
          <w:tcPr>
            <w:tcW w:w="1005" w:type="dxa"/>
            <w:vAlign w:val="center"/>
          </w:tcPr>
          <w:p>
            <w:pPr>
              <w:autoSpaceDE w:val="0"/>
              <w:autoSpaceDN w:val="0"/>
              <w:adjustRightInd w:val="0"/>
              <w:spacing w:line="240" w:lineRule="exact"/>
              <w:jc w:val="center"/>
              <w:rPr>
                <w:rFonts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615" w:type="dxa"/>
            <w:vAlign w:val="center"/>
          </w:tcPr>
          <w:p>
            <w:pPr>
              <w:autoSpaceDE w:val="0"/>
              <w:autoSpaceDN w:val="0"/>
              <w:adjustRightInd w:val="0"/>
              <w:spacing w:line="240" w:lineRule="exact"/>
              <w:jc w:val="center"/>
              <w:rPr>
                <w:rFonts w:ascii="仿宋_GB2312" w:eastAsia="仿宋_GB2312"/>
                <w:b/>
                <w:bCs/>
                <w:szCs w:val="21"/>
              </w:rPr>
            </w:pPr>
            <w:r>
              <w:rPr>
                <w:rFonts w:hint="eastAsia" w:ascii="仿宋_GB2312" w:eastAsia="仿宋_GB2312"/>
                <w:b/>
                <w:bCs/>
                <w:szCs w:val="21"/>
              </w:rPr>
              <w:t>容积率</w:t>
            </w:r>
          </w:p>
        </w:tc>
        <w:tc>
          <w:tcPr>
            <w:tcW w:w="1388" w:type="dxa"/>
            <w:vAlign w:val="center"/>
          </w:tcPr>
          <w:p>
            <w:pPr>
              <w:spacing w:line="320" w:lineRule="exact"/>
              <w:ind w:left="51" w:right="-60" w:rightChars="-25" w:hanging="51" w:hangingChars="21"/>
              <w:jc w:val="center"/>
              <w:rPr>
                <w:rFonts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701" w:type="dxa"/>
            <w:vAlign w:val="center"/>
          </w:tcPr>
          <w:p>
            <w:pPr>
              <w:autoSpaceDE w:val="0"/>
              <w:autoSpaceDN w:val="0"/>
              <w:adjustRightInd w:val="0"/>
              <w:spacing w:line="240" w:lineRule="exact"/>
              <w:jc w:val="center"/>
              <w:rPr>
                <w:rFonts w:ascii="仿宋_GB2312" w:eastAsia="仿宋_GB2312"/>
                <w:b/>
                <w:bCs/>
              </w:rPr>
            </w:pPr>
            <w:r>
              <w:rPr>
                <w:rFonts w:hint="eastAsia" w:eastAsia="仿宋_GB2312"/>
                <w:b/>
                <w:szCs w:val="21"/>
              </w:rPr>
              <w:t>机动车停车位配建标准</w:t>
            </w:r>
          </w:p>
        </w:tc>
        <w:tc>
          <w:tcPr>
            <w:tcW w:w="751" w:type="dxa"/>
            <w:vAlign w:val="center"/>
          </w:tcPr>
          <w:p>
            <w:pPr>
              <w:autoSpaceDE w:val="0"/>
              <w:autoSpaceDN w:val="0"/>
              <w:adjustRightInd w:val="0"/>
              <w:spacing w:line="240" w:lineRule="exact"/>
              <w:jc w:val="center"/>
              <w:rPr>
                <w:rFonts w:eastAsia="仿宋_GB2312"/>
                <w:b/>
                <w:szCs w:val="21"/>
              </w:rPr>
            </w:pPr>
            <w:r>
              <w:rPr>
                <w:rFonts w:hint="eastAsia" w:eastAsia="仿宋_GB2312"/>
                <w:b/>
                <w:szCs w:val="21"/>
              </w:rPr>
              <w:t>绿地率</w:t>
            </w:r>
          </w:p>
          <w:p>
            <w:pPr>
              <w:autoSpaceDE w:val="0"/>
              <w:autoSpaceDN w:val="0"/>
              <w:adjustRightInd w:val="0"/>
              <w:spacing w:line="240" w:lineRule="exact"/>
              <w:jc w:val="center"/>
              <w:rPr>
                <w:rFonts w:ascii="仿宋_GB2312" w:eastAsia="仿宋_GB2312"/>
                <w:b/>
                <w:bCs/>
              </w:rPr>
            </w:pPr>
            <w:r>
              <w:rPr>
                <w:rFonts w:hint="eastAsia" w:ascii="宋体" w:hAnsi="宋体" w:cs="宋体"/>
                <w:b/>
                <w:szCs w:val="21"/>
              </w:rPr>
              <w:t>（％）</w:t>
            </w:r>
          </w:p>
        </w:tc>
        <w:tc>
          <w:tcPr>
            <w:tcW w:w="950" w:type="dxa"/>
            <w:vAlign w:val="center"/>
          </w:tcPr>
          <w:p>
            <w:pPr>
              <w:spacing w:line="320" w:lineRule="exact"/>
              <w:ind w:left="51" w:right="-60" w:rightChars="-25" w:hanging="51" w:hangingChars="21"/>
              <w:jc w:val="center"/>
              <w:rPr>
                <w:rFonts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ascii="仿宋_GB2312" w:eastAsia="仿宋_GB2312"/>
                <w:b/>
                <w:bCs/>
              </w:rPr>
            </w:pPr>
          </w:p>
        </w:tc>
        <w:tc>
          <w:tcPr>
            <w:tcW w:w="670" w:type="dxa"/>
            <w:vMerge w:val="continue"/>
            <w:vAlign w:val="center"/>
          </w:tcPr>
          <w:p>
            <w:pPr>
              <w:autoSpaceDE w:val="0"/>
              <w:autoSpaceDN w:val="0"/>
              <w:adjustRightInd w:val="0"/>
              <w:spacing w:line="240" w:lineRule="exact"/>
              <w:jc w:val="cente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65"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GP2020-22</w:t>
            </w:r>
            <w:bookmarkStart w:id="0" w:name="_GoBack"/>
            <w:bookmarkEnd w:id="0"/>
          </w:p>
        </w:tc>
        <w:tc>
          <w:tcPr>
            <w:tcW w:w="585" w:type="dxa"/>
            <w:vAlign w:val="center"/>
          </w:tcPr>
          <w:p>
            <w:pPr>
              <w:jc w:val="center"/>
              <w:rPr>
                <w:rFonts w:ascii="仿宋_GB2312" w:hAnsi="Times New Roman" w:eastAsia="仿宋_GB2312"/>
                <w:szCs w:val="21"/>
              </w:rPr>
            </w:pPr>
            <w:r>
              <w:rPr>
                <w:rFonts w:hint="eastAsia" w:ascii="仿宋_GB2312" w:hAnsi="Times New Roman" w:eastAsia="仿宋_GB2312" w:cs="Times New Roman"/>
                <w:szCs w:val="21"/>
                <w:lang w:val="en-US" w:eastAsia="zh-CN"/>
              </w:rPr>
              <w:t>惠州市</w:t>
            </w:r>
            <w:r>
              <w:rPr>
                <w:rFonts w:hint="eastAsia" w:ascii="仿宋_GB2312" w:hAnsi="Times New Roman" w:eastAsia="仿宋_GB2312" w:cs="Times New Roman"/>
                <w:szCs w:val="21"/>
              </w:rPr>
              <w:t>江北</w:t>
            </w:r>
          </w:p>
        </w:tc>
        <w:tc>
          <w:tcPr>
            <w:tcW w:w="825" w:type="dxa"/>
            <w:vAlign w:val="center"/>
          </w:tcPr>
          <w:p>
            <w:pPr>
              <w:jc w:val="center"/>
              <w:rPr>
                <w:rFonts w:ascii="仿宋_GB2312" w:hAnsi="Times New Roman" w:eastAsia="仿宋_GB2312"/>
                <w:szCs w:val="21"/>
              </w:rPr>
            </w:pPr>
            <w:r>
              <w:rPr>
                <w:rFonts w:hint="eastAsia" w:ascii="仿宋_GB2312" w:hAnsi="Times New Roman" w:eastAsia="仿宋_GB2312" w:cs="Times New Roman"/>
                <w:szCs w:val="21"/>
                <w:lang w:val="en-US" w:eastAsia="zh-CN"/>
              </w:rPr>
              <w:t>JBX13-34-04-01</w:t>
            </w:r>
          </w:p>
        </w:tc>
        <w:tc>
          <w:tcPr>
            <w:tcW w:w="690" w:type="dxa"/>
            <w:tcMar>
              <w:left w:w="0" w:type="dxa"/>
              <w:right w:w="0" w:type="dxa"/>
            </w:tcMar>
            <w:vAlign w:val="center"/>
          </w:tcPr>
          <w:p>
            <w:pPr>
              <w:jc w:val="center"/>
              <w:rPr>
                <w:rFonts w:ascii="仿宋_GB2312" w:hAnsi="Times New Roman" w:eastAsia="仿宋_GB2312"/>
                <w:szCs w:val="21"/>
              </w:rPr>
            </w:pPr>
            <w:r>
              <w:rPr>
                <w:rFonts w:hint="eastAsia" w:ascii="仿宋_GB2312" w:hAnsi="Times New Roman" w:eastAsia="仿宋_GB2312"/>
                <w:szCs w:val="21"/>
              </w:rPr>
              <w:t>仓储及</w:t>
            </w:r>
            <w:r>
              <w:rPr>
                <w:rFonts w:ascii="仿宋_GB2312" w:hAnsi="Times New Roman" w:eastAsia="仿宋_GB2312"/>
                <w:szCs w:val="21"/>
              </w:rPr>
              <w:t>商服用地</w:t>
            </w:r>
          </w:p>
        </w:tc>
        <w:tc>
          <w:tcPr>
            <w:tcW w:w="103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16236.77</w:t>
            </w:r>
          </w:p>
        </w:tc>
        <w:tc>
          <w:tcPr>
            <w:tcW w:w="1005"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cs="Times New Roman"/>
                <w:szCs w:val="21"/>
                <w:lang w:val="en-US" w:eastAsia="zh-CN"/>
              </w:rPr>
              <w:t>19193.06</w:t>
            </w:r>
          </w:p>
        </w:tc>
        <w:tc>
          <w:tcPr>
            <w:tcW w:w="615"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Times New Roman" w:eastAsia="仿宋_GB2312" w:cs="Times New Roman"/>
                <w:szCs w:val="21"/>
                <w:lang w:val="en-US" w:eastAsia="zh-CN"/>
              </w:rPr>
              <w:t>≥1.2</w:t>
            </w:r>
          </w:p>
        </w:tc>
        <w:tc>
          <w:tcPr>
            <w:tcW w:w="1388"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23032（其中：商业6088，比例26.43%）</w:t>
            </w:r>
          </w:p>
        </w:tc>
        <w:tc>
          <w:tcPr>
            <w:tcW w:w="1701"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物流仓储建筑每100㎡计容建筑面积≥0.3个‘商业服务业设施建筑每100’ ㎡计容积率建筑面积≥1个</w:t>
            </w:r>
          </w:p>
        </w:tc>
        <w:tc>
          <w:tcPr>
            <w:tcW w:w="751"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20</w:t>
            </w:r>
          </w:p>
        </w:tc>
        <w:tc>
          <w:tcPr>
            <w:tcW w:w="95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物流仓储和商业、商务、娱乐康体及配套设施</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仓储50年；商服40年。</w:t>
            </w:r>
          </w:p>
        </w:tc>
      </w:tr>
    </w:tbl>
    <w:p>
      <w:pPr>
        <w:tabs>
          <w:tab w:val="left" w:pos="11340"/>
        </w:tabs>
        <w:spacing w:line="60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658E4"/>
    <w:multiLevelType w:val="singleLevel"/>
    <w:tmpl w:val="720658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5A8F"/>
    <w:rsid w:val="07191A1A"/>
    <w:rsid w:val="214901B7"/>
    <w:rsid w:val="281955C0"/>
    <w:rsid w:val="346C70B9"/>
    <w:rsid w:val="4D295A8F"/>
    <w:rsid w:val="62750557"/>
    <w:rsid w:val="65073CB9"/>
    <w:rsid w:val="6D8840D7"/>
    <w:rsid w:val="7FD3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before="100"/>
      <w:ind w:firstLine="640" w:firstLineChars="200"/>
    </w:pPr>
    <w:rPr>
      <w:rFonts w:ascii="仿宋_GB2312" w:hAnsi="华文中宋" w:eastAsia="仿宋_GB2312"/>
      <w:sz w:val="3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2020-06-11T01:22:00Z</dcterms:created>
  <dc:creator>黄春枚</dc:creator>
  <cp:lastModifiedBy>黄春枚</cp:lastModifiedBy>
  <cp:lastPrinted>2020-06-15T01:44:16Z</cp:lastPrinted>
  <dcterms:modified xsi:type="dcterms:W3CDTF">2020-06-15T01:50:36Z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