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default" w:ascii="仿宋_GB2312" w:hAnsi="仿宋" w:eastAsia="仿宋_GB2312" w:cs="Times New Roman"/>
          <w:kern w:val="2"/>
          <w:sz w:val="32"/>
          <w:szCs w:val="32"/>
          <w:lang w:val="en-US" w:eastAsia="zh-CN"/>
        </w:rPr>
        <w:t>24460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w:t>
      </w:r>
      <w:r>
        <w:rPr>
          <w:rFonts w:hint="eastAsia" w:ascii="仿宋_GB2312" w:hAnsi="仿宋" w:eastAsia="仿宋_GB2312" w:cs="仿宋_GB2312"/>
          <w:color w:val="000000"/>
          <w:sz w:val="32"/>
          <w:szCs w:val="32"/>
        </w:rPr>
        <w:t>竞买人缴交的竞买保证金为人民币</w:t>
      </w:r>
      <w:r>
        <w:rPr>
          <w:rFonts w:hint="default" w:ascii="仿宋_GB2312" w:hAnsi="仿宋" w:eastAsia="仿宋_GB2312" w:cs="仿宋_GB2312"/>
          <w:color w:val="000000"/>
          <w:sz w:val="32"/>
          <w:szCs w:val="32"/>
          <w:lang w:val="en-US" w:eastAsia="zh-CN"/>
        </w:rPr>
        <w:t>4892</w:t>
      </w:r>
      <w:r>
        <w:rPr>
          <w:rFonts w:hint="eastAsia" w:ascii="仿宋_GB2312" w:hAnsi="仿宋" w:eastAsia="仿宋_GB2312" w:cs="仿宋_GB2312"/>
          <w:color w:val="000000"/>
          <w:sz w:val="32"/>
          <w:szCs w:val="32"/>
        </w:rPr>
        <w:t>万元或等值外币（美元</w:t>
      </w:r>
      <w:r>
        <w:rPr>
          <w:rFonts w:hint="default" w:ascii="仿宋_GB2312" w:hAnsi="仿宋" w:eastAsia="仿宋_GB2312" w:cs="仿宋_GB2312"/>
          <w:color w:val="000000"/>
          <w:sz w:val="32"/>
          <w:szCs w:val="32"/>
          <w:lang w:val="en-US" w:eastAsia="zh-CN"/>
        </w:rPr>
        <w:t>693</w:t>
      </w:r>
      <w:r>
        <w:rPr>
          <w:rFonts w:hint="eastAsia" w:ascii="仿宋_GB2312" w:hAnsi="仿宋" w:eastAsia="仿宋_GB2312" w:cs="仿宋_GB2312"/>
          <w:color w:val="000000"/>
          <w:sz w:val="32"/>
          <w:szCs w:val="32"/>
        </w:rPr>
        <w:t>万元、港币</w:t>
      </w:r>
      <w:r>
        <w:rPr>
          <w:rFonts w:hint="default" w:ascii="仿宋_GB2312" w:hAnsi="仿宋" w:eastAsia="仿宋_GB2312" w:cs="仿宋_GB2312"/>
          <w:color w:val="000000"/>
          <w:sz w:val="32"/>
          <w:szCs w:val="32"/>
          <w:lang w:val="en-US" w:eastAsia="zh-CN"/>
        </w:rPr>
        <w:t>5367</w:t>
      </w:r>
      <w:r>
        <w:rPr>
          <w:rFonts w:hint="eastAsia" w:ascii="仿宋_GB2312" w:hAnsi="仿宋" w:eastAsia="仿宋_GB2312" w:cs="仿宋_GB2312"/>
          <w:color w:val="000000"/>
          <w:sz w:val="32"/>
          <w:szCs w:val="32"/>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（二）</w:t>
      </w:r>
      <w:r>
        <w:rPr>
          <w:rFonts w:hint="eastAsia" w:hAnsi="仿宋_GB2312" w:cs="仿宋_GB2312"/>
          <w:szCs w:val="32"/>
          <w:lang w:eastAsia="zh-CN"/>
        </w:rPr>
        <w:t>竞得人在用地红线内开发建设必须符合城市规划要求，必须按《告知书》（案卷编号：PB201900</w:t>
      </w:r>
      <w:r>
        <w:rPr>
          <w:rFonts w:hint="eastAsia" w:hAnsi="仿宋_GB2312" w:cs="仿宋_GB2312"/>
          <w:szCs w:val="32"/>
          <w:lang w:val="en-US" w:eastAsia="zh-CN"/>
        </w:rPr>
        <w:t>84</w:t>
      </w:r>
      <w:r>
        <w:rPr>
          <w:rFonts w:hint="eastAsia" w:hAnsi="仿宋_GB2312" w:cs="仿宋_GB2312"/>
          <w:szCs w:val="32"/>
          <w:lang w:eastAsia="zh-CN"/>
        </w:rPr>
        <w:t>）规划控制指标要求及有关规定进行规划设计；</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（三）</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default" w:ascii="仿宋_GB2312" w:hAnsi="仿宋_GB2312" w:eastAsia="仿宋_GB2312" w:cs="仿宋_GB2312"/>
          <w:sz w:val="32"/>
          <w:szCs w:val="32"/>
          <w:lang w:val="en-US"/>
        </w:rPr>
        <w:t>41240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312</w:t>
      </w:r>
    </w:p>
    <w:p>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联系电话：（0752）7121026、7121042</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left="5588" w:leftChars="2280" w:right="640" w:hanging="800" w:hanging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惠州市公共资源交易</w:t>
      </w:r>
      <w:r>
        <w:rPr>
          <w:rFonts w:hint="eastAsia" w:ascii="仿宋_GB2312" w:hAnsi="仿宋_GB2312" w:eastAsia="仿宋_GB2312" w:cs="仿宋_GB2312"/>
          <w:sz w:val="32"/>
          <w:szCs w:val="32"/>
          <w:lang w:val="en-US" w:eastAsia="zh-CN"/>
        </w:rPr>
        <w:t>心</w:t>
      </w:r>
    </w:p>
    <w:p>
      <w:pPr>
        <w:spacing w:line="520" w:lineRule="exact"/>
        <w:ind w:left="5587" w:leftChars="2432" w:right="640" w:hanging="480" w:hangingChars="150"/>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2020年5月28日</w:t>
      </w: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13"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25"/>
        <w:gridCol w:w="585"/>
        <w:gridCol w:w="780"/>
        <w:gridCol w:w="915"/>
        <w:gridCol w:w="900"/>
        <w:gridCol w:w="510"/>
        <w:gridCol w:w="870"/>
        <w:gridCol w:w="645"/>
        <w:gridCol w:w="1020"/>
        <w:gridCol w:w="480"/>
        <w:gridCol w:w="746"/>
        <w:gridCol w:w="93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7"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82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58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8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1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107"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04"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szCs w:val="21"/>
              </w:rPr>
            </w:pPr>
            <w:r>
              <w:rPr>
                <w:rFonts w:hint="eastAsia" w:ascii="仿宋_GB2312" w:eastAsia="仿宋_GB2312"/>
                <w:b/>
                <w:bCs/>
                <w:szCs w:val="21"/>
              </w:rPr>
              <w:t>出让</w:t>
            </w:r>
          </w:p>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897" w:type="dxa"/>
            <w:vMerge w:val="continue"/>
            <w:vAlign w:val="center"/>
          </w:tcPr>
          <w:p>
            <w:pPr>
              <w:adjustRightInd w:val="0"/>
              <w:snapToGrid w:val="0"/>
              <w:spacing w:line="320" w:lineRule="exact"/>
              <w:jc w:val="center"/>
              <w:rPr>
                <w:rFonts w:hint="eastAsia" w:ascii="仿宋_GB2312" w:eastAsia="仿宋_GB2312"/>
                <w:b/>
                <w:bCs/>
              </w:rPr>
            </w:pPr>
          </w:p>
        </w:tc>
        <w:tc>
          <w:tcPr>
            <w:tcW w:w="825" w:type="dxa"/>
            <w:vMerge w:val="continue"/>
            <w:vAlign w:val="center"/>
          </w:tcPr>
          <w:p>
            <w:pPr>
              <w:adjustRightInd w:val="0"/>
              <w:snapToGrid w:val="0"/>
              <w:spacing w:line="320" w:lineRule="exact"/>
              <w:jc w:val="center"/>
              <w:rPr>
                <w:rFonts w:hint="eastAsia" w:ascii="仿宋_GB2312" w:eastAsia="仿宋_GB2312"/>
                <w:b/>
                <w:bCs/>
              </w:rPr>
            </w:pPr>
          </w:p>
        </w:tc>
        <w:tc>
          <w:tcPr>
            <w:tcW w:w="585" w:type="dxa"/>
            <w:vMerge w:val="continue"/>
            <w:vAlign w:val="center"/>
          </w:tcPr>
          <w:p>
            <w:pPr>
              <w:adjustRightInd w:val="0"/>
              <w:snapToGrid w:val="0"/>
              <w:spacing w:line="320" w:lineRule="exact"/>
              <w:jc w:val="center"/>
              <w:rPr>
                <w:rFonts w:hint="eastAsia" w:ascii="仿宋_GB2312" w:eastAsia="仿宋_GB2312"/>
                <w:b/>
                <w:bCs/>
              </w:rPr>
            </w:pPr>
          </w:p>
        </w:tc>
        <w:tc>
          <w:tcPr>
            <w:tcW w:w="780" w:type="dxa"/>
            <w:vMerge w:val="continue"/>
            <w:vAlign w:val="center"/>
          </w:tcPr>
          <w:p>
            <w:pPr>
              <w:adjustRightInd w:val="0"/>
              <w:snapToGrid w:val="0"/>
              <w:spacing w:line="320" w:lineRule="exact"/>
              <w:jc w:val="center"/>
              <w:rPr>
                <w:rFonts w:hint="eastAsia" w:ascii="仿宋_GB2312" w:eastAsia="仿宋_GB2312"/>
                <w:b/>
                <w:bCs/>
              </w:rPr>
            </w:pPr>
          </w:p>
        </w:tc>
        <w:tc>
          <w:tcPr>
            <w:tcW w:w="915" w:type="dxa"/>
            <w:vMerge w:val="continue"/>
            <w:vAlign w:val="center"/>
          </w:tcPr>
          <w:p>
            <w:pPr>
              <w:adjustRightInd w:val="0"/>
              <w:snapToGrid w:val="0"/>
              <w:spacing w:line="320" w:lineRule="exact"/>
              <w:jc w:val="center"/>
              <w:rPr>
                <w:rFonts w:hint="eastAsia" w:ascii="仿宋_GB2312" w:eastAsia="仿宋_GB2312"/>
                <w:b/>
                <w:bCs/>
              </w:rPr>
            </w:pPr>
          </w:p>
        </w:tc>
        <w:tc>
          <w:tcPr>
            <w:tcW w:w="90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51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容积率</w:t>
            </w:r>
          </w:p>
        </w:tc>
        <w:tc>
          <w:tcPr>
            <w:tcW w:w="87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645"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spacing w:line="320" w:lineRule="exact"/>
              <w:ind w:left="44" w:right="-53" w:rightChars="-25" w:hanging="44" w:hangingChars="21"/>
              <w:jc w:val="center"/>
              <w:rPr>
                <w:rFonts w:hint="eastAsia" w:ascii="仿宋_GB2312" w:eastAsia="仿宋_GB2312"/>
                <w:b/>
                <w:bCs/>
                <w:szCs w:val="21"/>
              </w:rPr>
            </w:pPr>
            <w:r>
              <w:rPr>
                <w:rFonts w:hint="eastAsia" w:ascii="宋体" w:hAnsi="宋体" w:cs="宋体"/>
                <w:b/>
                <w:szCs w:val="21"/>
              </w:rPr>
              <w:t>（％）</w:t>
            </w:r>
          </w:p>
        </w:tc>
        <w:tc>
          <w:tcPr>
            <w:tcW w:w="1020" w:type="dxa"/>
            <w:vAlign w:val="center"/>
          </w:tcPr>
          <w:p>
            <w:pPr>
              <w:autoSpaceDE w:val="0"/>
              <w:autoSpaceDN w:val="0"/>
              <w:adjustRightInd w:val="0"/>
              <w:spacing w:line="240" w:lineRule="exact"/>
              <w:jc w:val="center"/>
              <w:rPr>
                <w:rFonts w:hint="eastAsia" w:ascii="仿宋_GB2312" w:hAnsi="Calibri" w:eastAsia="仿宋_GB2312"/>
                <w:b/>
                <w:bCs/>
                <w:kern w:val="2"/>
                <w:sz w:val="21"/>
                <w:szCs w:val="22"/>
                <w:lang w:val="en-US" w:eastAsia="zh-CN" w:bidi="ar-SA"/>
              </w:rPr>
            </w:pPr>
            <w:r>
              <w:rPr>
                <w:rFonts w:hint="eastAsia" w:eastAsia="仿宋_GB2312"/>
                <w:b/>
                <w:szCs w:val="21"/>
              </w:rPr>
              <w:t>机动车停车位配建标准</w:t>
            </w:r>
          </w:p>
        </w:tc>
        <w:tc>
          <w:tcPr>
            <w:tcW w:w="48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Calibri" w:hAnsi="Calibri" w:eastAsia="仿宋_GB2312"/>
                <w:b/>
                <w:kern w:val="2"/>
                <w:sz w:val="21"/>
                <w:szCs w:val="21"/>
                <w:lang w:val="en-US" w:eastAsia="zh-CN" w:bidi="ar-SA"/>
              </w:rPr>
            </w:pPr>
            <w:r>
              <w:rPr>
                <w:rFonts w:hint="eastAsia" w:ascii="宋体" w:hAnsi="宋体" w:cs="宋体"/>
                <w:b/>
                <w:szCs w:val="21"/>
              </w:rPr>
              <w:t>（％）</w:t>
            </w:r>
          </w:p>
        </w:tc>
        <w:tc>
          <w:tcPr>
            <w:tcW w:w="746"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建筑限高</w:t>
            </w:r>
          </w:p>
          <w:p>
            <w:pPr>
              <w:autoSpaceDE w:val="0"/>
              <w:autoSpaceDN w:val="0"/>
              <w:adjustRightInd w:val="0"/>
              <w:spacing w:line="240" w:lineRule="exact"/>
              <w:jc w:val="center"/>
              <w:rPr>
                <w:rFonts w:hint="eastAsia" w:ascii="宋体" w:hAnsi="宋体" w:cs="宋体"/>
                <w:b/>
                <w:szCs w:val="21"/>
              </w:rPr>
            </w:pPr>
            <w:r>
              <w:rPr>
                <w:rFonts w:hint="eastAsia" w:ascii="仿宋_GB2312" w:eastAsia="仿宋_GB2312"/>
                <w:b/>
                <w:bCs/>
                <w:szCs w:val="21"/>
              </w:rPr>
              <w:t>（</w:t>
            </w:r>
            <w:r>
              <w:rPr>
                <w:rFonts w:hint="eastAsia" w:ascii="仿宋_GB2312" w:eastAsia="仿宋_GB2312"/>
                <w:b/>
                <w:bCs/>
                <w:szCs w:val="21"/>
                <w:lang w:val="en-US" w:eastAsia="zh-CN"/>
              </w:rPr>
              <w:t>m</w:t>
            </w:r>
            <w:bookmarkStart w:id="0" w:name="_GoBack"/>
            <w:bookmarkEnd w:id="0"/>
            <w:r>
              <w:rPr>
                <w:rFonts w:hint="eastAsia" w:ascii="仿宋_GB2312" w:eastAsia="仿宋_GB2312"/>
                <w:b/>
                <w:bCs/>
                <w:szCs w:val="21"/>
              </w:rPr>
              <w:t>）</w:t>
            </w:r>
          </w:p>
        </w:tc>
        <w:tc>
          <w:tcPr>
            <w:tcW w:w="936" w:type="dxa"/>
            <w:vAlign w:val="center"/>
          </w:tcPr>
          <w:p>
            <w:pPr>
              <w:adjustRightInd w:val="0"/>
              <w:snapToGrid w:val="0"/>
              <w:spacing w:line="320" w:lineRule="exact"/>
              <w:jc w:val="center"/>
              <w:rPr>
                <w:rFonts w:hint="eastAsia" w:ascii="仿宋_GB2312" w:eastAsia="仿宋_GB2312"/>
                <w:b/>
                <w:bCs/>
              </w:rPr>
            </w:pPr>
            <w:r>
              <w:rPr>
                <w:rFonts w:hint="eastAsia" w:ascii="仿宋_GB2312" w:eastAsia="仿宋_GB2312"/>
                <w:b/>
                <w:bCs/>
                <w:szCs w:val="21"/>
              </w:rPr>
              <w:t>适建性</w:t>
            </w:r>
          </w:p>
        </w:tc>
        <w:tc>
          <w:tcPr>
            <w:tcW w:w="804" w:type="dxa"/>
            <w:vMerge w:val="continue"/>
            <w:vAlign w:val="center"/>
          </w:tcPr>
          <w:p>
            <w:pPr>
              <w:adjustRightInd w:val="0"/>
              <w:snapToGrid w:val="0"/>
              <w:spacing w:line="32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897" w:type="dxa"/>
            <w:tcMar>
              <w:left w:w="0" w:type="dxa"/>
              <w:right w:w="0" w:type="dxa"/>
            </w:tcMar>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GP2020</w:t>
            </w:r>
          </w:p>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-18</w:t>
            </w:r>
          </w:p>
        </w:tc>
        <w:tc>
          <w:tcPr>
            <w:tcW w:w="825" w:type="dxa"/>
            <w:vAlign w:val="center"/>
          </w:tcPr>
          <w:p>
            <w:pPr>
              <w:jc w:val="center"/>
              <w:rPr>
                <w:rFonts w:hint="eastAsia" w:ascii="仿宋_GB2312" w:hAnsi="Times New Roman" w:eastAsia="仿宋_GB2312"/>
                <w:szCs w:val="21"/>
              </w:rPr>
            </w:pPr>
            <w:r>
              <w:rPr>
                <w:rFonts w:hint="eastAsia" w:ascii="Times New Roman" w:hAnsi="Times New Roman" w:eastAsia="仿宋_GB2312"/>
                <w:lang w:val="en-US" w:eastAsia="zh-CN"/>
              </w:rPr>
              <w:t>惠州市惠城区</w:t>
            </w:r>
            <w:r>
              <w:rPr>
                <w:rFonts w:hint="eastAsia" w:ascii="Times New Roman" w:hAnsi="Times New Roman" w:eastAsia="仿宋_GB2312"/>
              </w:rPr>
              <w:t>河桥片区</w:t>
            </w:r>
          </w:p>
        </w:tc>
        <w:tc>
          <w:tcPr>
            <w:tcW w:w="585"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HQ03-01</w:t>
            </w:r>
          </w:p>
        </w:tc>
        <w:tc>
          <w:tcPr>
            <w:tcW w:w="780" w:type="dxa"/>
            <w:tcMar>
              <w:left w:w="0" w:type="dxa"/>
              <w:right w:w="0" w:type="dxa"/>
            </w:tcMar>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住宅、商服用地</w:t>
            </w:r>
          </w:p>
        </w:tc>
        <w:tc>
          <w:tcPr>
            <w:tcW w:w="91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13213.3</w:t>
            </w:r>
          </w:p>
        </w:tc>
        <w:tc>
          <w:tcPr>
            <w:tcW w:w="90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17118.23</w:t>
            </w:r>
          </w:p>
        </w:tc>
        <w:tc>
          <w:tcPr>
            <w:tcW w:w="510" w:type="dxa"/>
            <w:vAlign w:val="center"/>
          </w:tcPr>
          <w:p>
            <w:pPr>
              <w:ind w:left="-103"/>
              <w:jc w:val="center"/>
              <w:rPr>
                <w:rFonts w:hint="eastAsia" w:ascii="仿宋_GB2312" w:hAnsi="Times New Roman" w:eastAsia="仿宋_GB2312"/>
                <w:szCs w:val="21"/>
                <w:lang w:eastAsia="zh-CN"/>
              </w:rPr>
            </w:pPr>
            <w:r>
              <w:rPr>
                <w:rFonts w:hint="eastAsia" w:ascii="仿宋_GB2312" w:hAnsi="Times New Roman" w:eastAsia="仿宋_GB2312"/>
                <w:szCs w:val="21"/>
              </w:rPr>
              <w:t>≤2</w:t>
            </w:r>
            <w:r>
              <w:rPr>
                <w:rFonts w:ascii="仿宋_GB2312" w:hAnsi="Times New Roman" w:eastAsia="仿宋_GB2312"/>
                <w:szCs w:val="21"/>
              </w:rPr>
              <w:t>.</w:t>
            </w:r>
            <w:r>
              <w:rPr>
                <w:rFonts w:hint="eastAsia" w:ascii="仿宋_GB2312" w:hAnsi="Times New Roman" w:eastAsia="仿宋_GB2312"/>
                <w:szCs w:val="21"/>
                <w:lang w:val="en-US" w:eastAsia="zh-CN"/>
              </w:rPr>
              <w:t>8</w:t>
            </w:r>
          </w:p>
        </w:tc>
        <w:tc>
          <w:tcPr>
            <w:tcW w:w="870" w:type="dxa"/>
            <w:vAlign w:val="center"/>
          </w:tcPr>
          <w:p>
            <w:pPr>
              <w:autoSpaceDE w:val="0"/>
              <w:autoSpaceDN w:val="0"/>
              <w:adjustRightInd w:val="0"/>
              <w:spacing w:line="240" w:lineRule="exact"/>
              <w:jc w:val="center"/>
              <w:rPr>
                <w:rFonts w:hint="eastAsia" w:ascii="仿宋_GB2312" w:hAnsi="仿宋_GB2312" w:eastAsia="仿宋_GB2312" w:cs="仿宋_GB2312"/>
                <w:b/>
                <w:szCs w:val="28"/>
              </w:rPr>
            </w:pPr>
            <w:r>
              <w:rPr>
                <w:rFonts w:hint="eastAsia" w:ascii="仿宋_GB2312" w:hAnsi="Times New Roman" w:eastAsia="仿宋_GB2312"/>
                <w:szCs w:val="21"/>
              </w:rPr>
              <w:t>≤</w:t>
            </w:r>
            <w:r>
              <w:rPr>
                <w:rFonts w:hint="eastAsia" w:ascii="仿宋_GB2312" w:hAnsi="仿宋_GB2312" w:eastAsia="仿宋_GB2312" w:cs="仿宋_GB2312"/>
                <w:szCs w:val="21"/>
                <w:lang w:val="en-US" w:eastAsia="zh-CN"/>
              </w:rPr>
              <w:t>47944</w:t>
            </w:r>
            <w:r>
              <w:rPr>
                <w:rFonts w:hint="default" w:ascii="仿宋_GB2312" w:hAnsi="仿宋_GB2312" w:eastAsia="仿宋_GB2312" w:cs="仿宋_GB2312"/>
                <w:szCs w:val="21"/>
                <w:lang w:val="en-US" w:eastAsia="zh-CN"/>
              </w:rPr>
              <w:t>(</w:t>
            </w:r>
            <w:r>
              <w:rPr>
                <w:rFonts w:hint="eastAsia" w:ascii="仿宋_GB2312" w:hAnsi="仿宋_GB2312" w:eastAsia="仿宋_GB2312" w:cs="仿宋_GB2312"/>
                <w:szCs w:val="21"/>
              </w:rPr>
              <w:t>其中： 商业</w:t>
            </w:r>
            <w:r>
              <w:rPr>
                <w:rFonts w:hint="eastAsia" w:ascii="仿宋_GB2312" w:hAnsi="仿宋_GB2312" w:eastAsia="仿宋_GB2312" w:cs="仿宋_GB2312"/>
                <w:szCs w:val="21"/>
                <w:lang w:eastAsia="zh-CN"/>
              </w:rPr>
              <w:t>服务业设施</w:t>
            </w:r>
            <w:r>
              <w:rPr>
                <w:rFonts w:hint="eastAsia" w:ascii="仿宋_GB2312" w:hAnsi="仿宋_GB2312" w:eastAsia="仿宋_GB2312" w:cs="仿宋_GB2312"/>
                <w:szCs w:val="21"/>
              </w:rPr>
              <w:t>≤</w:t>
            </w:r>
          </w:p>
          <w:p>
            <w:pPr>
              <w:jc w:val="center"/>
              <w:rPr>
                <w:rFonts w:hint="default" w:ascii="仿宋_GB2312" w:hAnsi="Times New Roman" w:eastAsia="仿宋_GB2312"/>
                <w:szCs w:val="21"/>
                <w:lang w:val="en-US"/>
              </w:rPr>
            </w:pPr>
            <w:r>
              <w:rPr>
                <w:rFonts w:hint="eastAsia" w:ascii="仿宋_GB2312" w:hAnsi="仿宋_GB2312" w:eastAsia="仿宋_GB2312" w:cs="仿宋_GB2312"/>
                <w:szCs w:val="21"/>
              </w:rPr>
              <w:t>10%</w:t>
            </w:r>
            <w:r>
              <w:rPr>
                <w:rFonts w:hint="default" w:ascii="仿宋_GB2312" w:hAnsi="仿宋_GB2312" w:eastAsia="仿宋_GB2312" w:cs="仿宋_GB2312"/>
                <w:szCs w:val="21"/>
                <w:lang w:val="en-US"/>
              </w:rPr>
              <w:t>)</w:t>
            </w:r>
          </w:p>
        </w:tc>
        <w:tc>
          <w:tcPr>
            <w:tcW w:w="64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rPr>
              <w:t>≤2</w:t>
            </w:r>
            <w:r>
              <w:rPr>
                <w:rFonts w:hint="eastAsia" w:ascii="仿宋_GB2312" w:hAnsi="Times New Roman" w:eastAsia="仿宋_GB2312"/>
                <w:szCs w:val="21"/>
                <w:lang w:val="en-US" w:eastAsia="zh-CN"/>
              </w:rPr>
              <w:t>2</w:t>
            </w:r>
          </w:p>
        </w:tc>
        <w:tc>
          <w:tcPr>
            <w:tcW w:w="1020" w:type="dxa"/>
            <w:vAlign w:val="center"/>
          </w:tcPr>
          <w:p>
            <w:pPr>
              <w:jc w:val="center"/>
              <w:rPr>
                <w:rFonts w:hint="eastAsia" w:ascii="仿宋_GB2312" w:hAnsi="Times New Roman" w:eastAsia="仿宋_GB2312"/>
                <w:szCs w:val="21"/>
              </w:rPr>
            </w:pPr>
            <w:r>
              <w:rPr>
                <w:rFonts w:hint="eastAsia" w:ascii="仿宋_GB2312" w:hAnsi="仿宋_GB2312" w:eastAsia="仿宋_GB2312" w:cs="仿宋_GB2312"/>
                <w:szCs w:val="21"/>
              </w:rPr>
              <w:t>每100平方米计容积率面积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rPr>
              <w:t>1个</w:t>
            </w:r>
          </w:p>
        </w:tc>
        <w:tc>
          <w:tcPr>
            <w:tcW w:w="480" w:type="dxa"/>
            <w:vAlign w:val="center"/>
          </w:tcPr>
          <w:p>
            <w:pPr>
              <w:ind w:left="0" w:leftChars="-51" w:right="-118" w:rightChars="-56" w:hanging="107" w:hangingChars="51"/>
              <w:jc w:val="center"/>
              <w:rPr>
                <w:rFonts w:hint="eastAsia" w:ascii="仿宋_GB2312" w:hAnsi="Times New Roman" w:eastAsia="仿宋_GB2312"/>
                <w:kern w:val="2"/>
                <w:sz w:val="21"/>
                <w:szCs w:val="21"/>
                <w:lang w:val="en-US" w:eastAsia="zh-CN" w:bidi="ar-SA"/>
              </w:rPr>
            </w:pPr>
            <w:r>
              <w:rPr>
                <w:rFonts w:hint="eastAsia" w:ascii="仿宋_GB2312" w:hAnsi="仿宋_GB2312" w:eastAsia="仿宋_GB2312" w:cs="仿宋_GB2312"/>
                <w:szCs w:val="21"/>
              </w:rPr>
              <w:t>≥35</w:t>
            </w:r>
          </w:p>
        </w:tc>
        <w:tc>
          <w:tcPr>
            <w:tcW w:w="746" w:type="dxa"/>
            <w:vAlign w:val="center"/>
          </w:tcPr>
          <w:p>
            <w:pPr>
              <w:ind w:left="0" w:leftChars="-51" w:right="-118" w:rightChars="-56" w:hanging="107" w:hangingChars="51"/>
              <w:jc w:val="center"/>
              <w:rPr>
                <w:rFonts w:hint="eastAsia" w:ascii="仿宋_GB2312" w:hAnsi="仿宋_GB2312" w:eastAsia="仿宋_GB2312" w:cs="仿宋_GB2312"/>
                <w:szCs w:val="21"/>
              </w:rPr>
            </w:pPr>
            <w:r>
              <w:rPr>
                <w:rFonts w:hint="eastAsia" w:ascii="仿宋_GB2312" w:hAnsi="仿宋_GB2312" w:eastAsia="仿宋_GB2312"/>
                <w:color w:val="000000"/>
                <w:szCs w:val="21"/>
              </w:rPr>
              <w:t>≥</w:t>
            </w:r>
            <w:r>
              <w:rPr>
                <w:rFonts w:hint="default" w:ascii="仿宋_GB2312" w:hAnsi="仿宋_GB2312" w:eastAsia="仿宋_GB2312"/>
                <w:color w:val="000000"/>
                <w:szCs w:val="21"/>
                <w:lang w:val="en-US"/>
              </w:rPr>
              <w:t>6</w:t>
            </w:r>
            <w:r>
              <w:rPr>
                <w:rFonts w:hint="eastAsia" w:ascii="Arial" w:hAnsi="Arial" w:eastAsia="仿宋_GB2312" w:cs="Arial"/>
                <w:szCs w:val="21"/>
                <w:lang w:val="en-US" w:eastAsia="zh-CN"/>
              </w:rPr>
              <w:t>层且</w:t>
            </w:r>
            <w:r>
              <w:rPr>
                <w:rFonts w:hint="eastAsia" w:ascii="仿宋_GB2312" w:hAnsi="仿宋_GB2312" w:eastAsia="仿宋_GB2312"/>
                <w:color w:val="000000"/>
                <w:szCs w:val="21"/>
              </w:rPr>
              <w:t>≤</w:t>
            </w:r>
            <w:r>
              <w:rPr>
                <w:rFonts w:hint="eastAsia" w:ascii="仿宋_GB2312" w:hAnsi="仿宋_GB2312" w:eastAsia="仿宋_GB2312"/>
                <w:color w:val="000000"/>
                <w:szCs w:val="21"/>
                <w:lang w:val="en-US" w:eastAsia="zh-CN"/>
              </w:rPr>
              <w:t>54米</w:t>
            </w:r>
          </w:p>
        </w:tc>
        <w:tc>
          <w:tcPr>
            <w:tcW w:w="936" w:type="dxa"/>
            <w:vAlign w:val="center"/>
          </w:tcPr>
          <w:p>
            <w:pPr>
              <w:ind w:leftChars="-51" w:right="-118" w:rightChars="-56" w:hanging="107" w:hangingChars="51"/>
              <w:jc w:val="center"/>
              <w:rPr>
                <w:rFonts w:hint="eastAsia" w:ascii="仿宋_GB2312" w:hAnsi="Times New Roman" w:eastAsia="仿宋_GB2312"/>
                <w:szCs w:val="21"/>
                <w:lang w:val="en-US" w:eastAsia="zh-CN"/>
              </w:rPr>
            </w:pPr>
            <w:r>
              <w:rPr>
                <w:rFonts w:hint="eastAsia" w:ascii="Times New Roman" w:hAnsi="Times New Roman" w:eastAsia="仿宋_GB2312"/>
              </w:rPr>
              <w:t>住宅和</w:t>
            </w:r>
            <w:r>
              <w:rPr>
                <w:rFonts w:ascii="Times New Roman" w:hAnsi="Times New Roman" w:eastAsia="仿宋_GB2312"/>
              </w:rPr>
              <w:t>商业</w:t>
            </w:r>
            <w:r>
              <w:rPr>
                <w:rFonts w:hint="eastAsia" w:ascii="Times New Roman" w:hAnsi="Times New Roman" w:eastAsia="仿宋_GB2312"/>
                <w:lang w:eastAsia="zh-CN"/>
              </w:rPr>
              <w:t>、商务、娱乐康体</w:t>
            </w:r>
            <w:r>
              <w:rPr>
                <w:rFonts w:ascii="Times New Roman" w:hAnsi="Times New Roman" w:eastAsia="仿宋_GB2312"/>
              </w:rPr>
              <w:t>及配套设施</w:t>
            </w:r>
          </w:p>
        </w:tc>
        <w:tc>
          <w:tcPr>
            <w:tcW w:w="804"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rPr>
              <w:t>住宅70年；商服40年。</w:t>
            </w:r>
          </w:p>
          <w:p>
            <w:pPr>
              <w:ind w:left="0" w:leftChars="-51" w:right="-118" w:rightChars="-56" w:hanging="107" w:hangingChars="51"/>
              <w:jc w:val="left"/>
              <w:rPr>
                <w:rFonts w:hint="eastAsia" w:ascii="仿宋_GB2312" w:hAnsi="仿宋_GB2312" w:eastAsia="仿宋_GB2312"/>
                <w:color w:val="000000"/>
                <w:kern w:val="2"/>
                <w:sz w:val="21"/>
                <w:szCs w:val="21"/>
                <w:lang w:val="en-US" w:eastAsia="zh-CN" w:bidi="ar-SA"/>
              </w:rPr>
            </w:pPr>
          </w:p>
        </w:tc>
      </w:tr>
    </w:tbl>
    <w:p>
      <w:pPr>
        <w:spacing w:line="360" w:lineRule="auto"/>
        <w:rPr>
          <w:rFonts w:ascii="仿宋_GB2312"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tabs>
          <w:tab w:val="left" w:pos="11340"/>
        </w:tabs>
        <w:spacing w:line="600" w:lineRule="exact"/>
        <w:rPr>
          <w:rFonts w:hint="eastAsia" w:ascii="仿宋_GB2312" w:eastAsia="仿宋_GB2312"/>
          <w:sz w:val="32"/>
          <w:szCs w:val="32"/>
        </w:rPr>
      </w:pPr>
    </w:p>
    <w:p>
      <w:pPr>
        <w:ind w:firstLine="150" w:firstLineChars="50"/>
        <w:jc w:val="right"/>
        <w:rPr>
          <w:rFonts w:ascii="仿宋_GB2312" w:hAnsi="楷体" w:eastAsia="仿宋_GB2312"/>
          <w:sz w:val="30"/>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- 10 -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042A9"/>
    <w:rsid w:val="19D85FAD"/>
    <w:rsid w:val="20FB5424"/>
    <w:rsid w:val="24CD2005"/>
    <w:rsid w:val="5C6C2868"/>
    <w:rsid w:val="66BE326E"/>
    <w:rsid w:val="73D042A9"/>
    <w:rsid w:val="7569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2020-05-27T02:55:00Z</dcterms:created>
  <dc:creator>黄春枚</dc:creator>
  <cp:lastModifiedBy>黄春枚</cp:lastModifiedBy>
  <dcterms:modified xsi:type="dcterms:W3CDTF">2020-06-01T02:29:40Z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