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8"/>
        </w:rPr>
      </w:pPr>
      <w:r>
        <w:rPr>
          <w:rFonts w:hint="default" w:ascii="Times New Roman" w:hAnsi="Times New Roman" w:eastAsia="方正小标宋_GBK" w:cs="Times New Roman"/>
          <w:b/>
          <w:bCs/>
          <w:spacing w:val="3"/>
          <w:sz w:val="44"/>
          <w:szCs w:val="44"/>
        </w:rPr>
        <w:t>惠州市国有建设用地使用权网上挂牌</w:t>
      </w:r>
      <w:r>
        <w:rPr>
          <w:rFonts w:hint="default" w:ascii="Times New Roman" w:hAnsi="Times New Roman" w:eastAsia="方正小标宋_GBK" w:cs="Times New Roman"/>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031</w:t>
      </w:r>
      <w:r>
        <w:rPr>
          <w:rFonts w:hint="eastAsia" w:ascii="仿宋_GB2312" w:eastAsia="仿宋_GB2312"/>
          <w:sz w:val="32"/>
          <w:szCs w:val="32"/>
        </w:rPr>
        <w:t>号</w:t>
      </w:r>
    </w:p>
    <w:p>
      <w:pPr>
        <w:spacing w:line="520" w:lineRule="exact"/>
        <w:ind w:firstLine="360" w:firstLineChars="200"/>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时至20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三、挂牌起始价为人民币</w:t>
      </w:r>
      <w:r>
        <w:rPr>
          <w:rFonts w:hint="default" w:ascii="仿宋_GB2312" w:hAnsi="仿宋_GB2312" w:eastAsia="仿宋_GB2312" w:cs="仿宋_GB2312"/>
          <w:sz w:val="32"/>
          <w:szCs w:val="32"/>
          <w:lang w:val="en-US" w:eastAsia="zh-CN"/>
        </w:rPr>
        <w:t xml:space="preserve"> 6840 </w:t>
      </w:r>
      <w:r>
        <w:rPr>
          <w:rFonts w:hint="default"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rPr>
        <w:t>（即竞得人必须是新公司的唯一股东）</w:t>
      </w:r>
      <w:r>
        <w:rPr>
          <w:rFonts w:hint="default" w:ascii="仿宋_GB2312" w:hAnsi="仿宋_GB2312" w:eastAsia="仿宋_GB2312" w:cs="仿宋_GB2312"/>
          <w:sz w:val="3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五、该宗地竞买保证金可用人民币及外币（暂限于美元、港币）支付。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六、申请人应具备的其他条件：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（一）缴交竞买保证金</w:t>
      </w:r>
      <w:r>
        <w:rPr>
          <w:rFonts w:hint="default" w:ascii="仿宋_GB2312" w:hAnsi="仿宋_GB2312" w:eastAsia="仿宋_GB2312" w:cs="仿宋_GB2312"/>
          <w:sz w:val="32"/>
          <w:szCs w:val="32"/>
          <w:lang w:val="en-US" w:eastAsia="zh-CN"/>
        </w:rPr>
        <w:t>2052</w:t>
      </w:r>
      <w:r>
        <w:rPr>
          <w:rFonts w:hint="default" w:ascii="仿宋_GB2312" w:hAnsi="仿宋_GB2312" w:eastAsia="仿宋_GB2312" w:cs="仿宋_GB2312"/>
          <w:sz w:val="32"/>
          <w:szCs w:val="32"/>
          <w:lang w:eastAsia="zh-CN"/>
        </w:rPr>
        <w:t>万元人民币</w:t>
      </w:r>
      <w:r>
        <w:rPr>
          <w:rFonts w:hint="eastAsia" w:ascii="仿宋_GB2312" w:hAnsi="仿宋_GB2312" w:eastAsia="仿宋_GB2312" w:cs="仿宋_GB2312"/>
          <w:sz w:val="32"/>
          <w:szCs w:val="32"/>
          <w:lang w:val="en-US" w:eastAsia="zh-CN"/>
        </w:rPr>
        <w:t>,如以外币缴交竞买保证金的，须缴交美元 293万元或港币 2281 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二</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2、存在非法转让土地使用权等违法行为的；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3、因企业原因造成土地闲置一年以上且至报名日止未处罚完结的；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5、至报名日止仍拖欠政府地价款的;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6、被列入问题楼盘开发企业黑名单的;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7、存在其它被禁止竞买土地行为的。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default"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default"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十二、竞得人签订《成交确认书》后，缴交的保证金中按成交价的10%转作定金，竞得人签订《出让合同》后，定金转作土地出让价款。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十三、其它需要公告的事项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 xml:space="preserve"> 10295 </w:t>
      </w:r>
      <w:r>
        <w:rPr>
          <w:rFonts w:hint="default" w:ascii="仿宋_GB2312" w:hAnsi="仿宋_GB2312" w:eastAsia="仿宋_GB2312" w:cs="仿宋_GB2312"/>
          <w:sz w:val="32"/>
          <w:szCs w:val="32"/>
        </w:rPr>
        <w:t>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Ansi="仿宋_GB2312" w:cs="仿宋_GB2312"/>
          <w:szCs w:val="32"/>
        </w:rPr>
      </w:pPr>
      <w:r>
        <w:rPr>
          <w:rFonts w:hint="eastAsia" w:ascii="仿宋_GB2312" w:hAnsi="仿宋_GB2312" w:eastAsia="仿宋_GB2312" w:cs="仿宋_GB2312"/>
          <w:sz w:val="32"/>
          <w:szCs w:val="32"/>
          <w:lang w:eastAsia="zh-CN"/>
        </w:rPr>
        <w:t>（四）</w:t>
      </w:r>
      <w:r>
        <w:rPr>
          <w:rFonts w:hint="eastAsia" w:hAnsi="仿宋_GB2312" w:cs="仿宋_GB2312"/>
          <w:szCs w:val="32"/>
        </w:rPr>
        <w:t>《规划设计条件告知书》（编号：PBS20180008）和《关于惠南大道A01-01-13地块规划要点核实的函》（PBS20190008号），该宗地属于惠南大道</w:t>
      </w:r>
      <w:r>
        <w:rPr>
          <w:rFonts w:hAnsi="仿宋_GB2312" w:cs="仿宋_GB2312"/>
          <w:szCs w:val="32"/>
        </w:rPr>
        <w:t>A01-01-13</w:t>
      </w:r>
      <w:r>
        <w:rPr>
          <w:rFonts w:hint="eastAsia" w:hAnsi="仿宋_GB2312" w:cs="仿宋_GB2312"/>
          <w:szCs w:val="32"/>
        </w:rPr>
        <w:t>地块“三旧”改造项目用地中的一部分，按政策规定须公开挂牌出让。该用地不具备单独开发建设条件，应与相邻改造项目用地统一规划、统一设计、统一建设。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default"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邱先生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315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266" w:firstLine="0" w:firstLineChars="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r>
        <w:rPr>
          <w:rFonts w:hint="eastAsia" w:ascii="仿宋_GB2312" w:hAnsi="仿宋_GB2312" w:eastAsia="仿宋_GB2312" w:cs="仿宋_GB2312"/>
          <w:sz w:val="32"/>
          <w:szCs w:val="32"/>
        </w:rPr>
        <w:br w:type="textWrapping"/>
      </w:r>
      <w:r>
        <w:rPr>
          <w:rFonts w:hint="default"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广东省土地市场网：</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"http://www.landgd.com"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http://www.landgd.com</w:t>
      </w:r>
      <w:r>
        <w:rPr>
          <w:rFonts w:hint="default"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惠州市公共资源交易中心网：</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"http://zyjy.huizhou.gov.cn"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http://zyjy.huizhou.gov.cn</w:t>
      </w:r>
      <w:r>
        <w:rPr>
          <w:rFonts w:hint="default"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数字证书办理地址：惠州市江北云山西路二号帝景国际商务中心七层18-22房。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惠州市公共资源交易中心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2020年8月21</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9"/>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 xml:space="preserve">  </w:t>
      </w:r>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w:t>
      </w:r>
    </w:p>
    <w:p>
      <w:pPr>
        <w:tabs>
          <w:tab w:val="left" w:pos="9720"/>
        </w:tabs>
        <w:spacing w:line="360" w:lineRule="auto"/>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sz w:val="36"/>
          <w:szCs w:val="36"/>
        </w:rPr>
        <w:t>网上挂牌出让地块规划建设指标</w:t>
      </w:r>
    </w:p>
    <w:tbl>
      <w:tblPr>
        <w:tblStyle w:val="7"/>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44"/>
        <w:gridCol w:w="732"/>
        <w:gridCol w:w="624"/>
        <w:gridCol w:w="924"/>
        <w:gridCol w:w="948"/>
        <w:gridCol w:w="720"/>
        <w:gridCol w:w="672"/>
        <w:gridCol w:w="1923"/>
        <w:gridCol w:w="992"/>
        <w:gridCol w:w="851"/>
        <w:gridCol w:w="85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530" w:type="dxa"/>
            <w:vMerge w:val="restart"/>
            <w:vAlign w:val="center"/>
          </w:tcPr>
          <w:p>
            <w:pPr>
              <w:spacing w:line="320" w:lineRule="exact"/>
              <w:jc w:val="center"/>
              <w:rPr>
                <w:rFonts w:ascii="仿宋_GB2312" w:eastAsia="仿宋_GB2312"/>
                <w:b/>
                <w:bCs/>
                <w:szCs w:val="21"/>
              </w:rPr>
            </w:pPr>
            <w:r>
              <w:rPr>
                <w:rFonts w:hint="eastAsia" w:ascii="仿宋_GB2312" w:eastAsia="仿宋_GB2312"/>
                <w:b/>
                <w:bCs/>
                <w:szCs w:val="21"/>
              </w:rPr>
              <w:t>挂牌地块编号</w:t>
            </w:r>
          </w:p>
        </w:tc>
        <w:tc>
          <w:tcPr>
            <w:tcW w:w="544" w:type="dxa"/>
            <w:vMerge w:val="restart"/>
            <w:vAlign w:val="center"/>
          </w:tcPr>
          <w:p>
            <w:pPr>
              <w:spacing w:line="320" w:lineRule="exact"/>
              <w:jc w:val="center"/>
              <w:rPr>
                <w:rFonts w:ascii="仿宋_GB2312" w:eastAsia="仿宋_GB2312"/>
                <w:b/>
                <w:bCs/>
                <w:szCs w:val="21"/>
              </w:rPr>
            </w:pPr>
            <w:r>
              <w:rPr>
                <w:rFonts w:hint="eastAsia" w:ascii="仿宋_GB2312" w:eastAsia="仿宋_GB2312"/>
                <w:b/>
                <w:bCs/>
                <w:szCs w:val="21"/>
              </w:rPr>
              <w:t>土地</w:t>
            </w:r>
          </w:p>
          <w:p>
            <w:pPr>
              <w:spacing w:line="320" w:lineRule="exact"/>
              <w:jc w:val="center"/>
              <w:rPr>
                <w:rFonts w:ascii="仿宋_GB2312" w:eastAsia="仿宋_GB2312"/>
                <w:b/>
                <w:bCs/>
                <w:szCs w:val="21"/>
              </w:rPr>
            </w:pPr>
            <w:r>
              <w:rPr>
                <w:rFonts w:hint="eastAsia" w:ascii="仿宋_GB2312" w:eastAsia="仿宋_GB2312"/>
                <w:b/>
                <w:bCs/>
                <w:szCs w:val="21"/>
              </w:rPr>
              <w:t>位置</w:t>
            </w:r>
          </w:p>
        </w:tc>
        <w:tc>
          <w:tcPr>
            <w:tcW w:w="732" w:type="dxa"/>
            <w:vMerge w:val="restart"/>
            <w:vAlign w:val="center"/>
          </w:tcPr>
          <w:p>
            <w:pPr>
              <w:adjustRightInd w:val="0"/>
              <w:snapToGrid w:val="0"/>
              <w:spacing w:line="320" w:lineRule="exact"/>
              <w:jc w:val="center"/>
              <w:rPr>
                <w:rFonts w:ascii="仿宋_GB2312" w:eastAsia="仿宋_GB2312"/>
                <w:b/>
                <w:bCs/>
                <w:szCs w:val="21"/>
              </w:rPr>
            </w:pPr>
            <w:r>
              <w:rPr>
                <w:rFonts w:hint="eastAsia" w:ascii="仿宋_GB2312" w:eastAsia="仿宋_GB2312"/>
                <w:b/>
                <w:bCs/>
                <w:szCs w:val="21"/>
              </w:rPr>
              <w:t>规划编号</w:t>
            </w:r>
          </w:p>
        </w:tc>
        <w:tc>
          <w:tcPr>
            <w:tcW w:w="624" w:type="dxa"/>
            <w:vMerge w:val="restart"/>
            <w:vAlign w:val="center"/>
          </w:tcPr>
          <w:p>
            <w:pPr>
              <w:adjustRightInd w:val="0"/>
              <w:snapToGrid w:val="0"/>
              <w:spacing w:line="320" w:lineRule="exact"/>
              <w:jc w:val="center"/>
              <w:rPr>
                <w:rFonts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ascii="仿宋_GB2312" w:eastAsia="仿宋_GB2312"/>
                <w:b/>
                <w:bCs/>
                <w:szCs w:val="21"/>
              </w:rPr>
            </w:pPr>
            <w:r>
              <w:rPr>
                <w:rFonts w:hint="eastAsia" w:ascii="仿宋_GB2312" w:eastAsia="仿宋_GB2312"/>
                <w:b/>
                <w:bCs/>
                <w:szCs w:val="21"/>
              </w:rPr>
              <w:t>用途</w:t>
            </w:r>
          </w:p>
        </w:tc>
        <w:tc>
          <w:tcPr>
            <w:tcW w:w="924" w:type="dxa"/>
            <w:vMerge w:val="restart"/>
            <w:vAlign w:val="center"/>
          </w:tcPr>
          <w:p>
            <w:pPr>
              <w:spacing w:line="320" w:lineRule="exact"/>
              <w:jc w:val="center"/>
              <w:rPr>
                <w:rFonts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Chars="-89" w:hanging="214" w:hangingChars="89"/>
              <w:jc w:val="center"/>
              <w:rPr>
                <w:rFonts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530" w:type="dxa"/>
            <w:vMerge w:val="continue"/>
            <w:vAlign w:val="center"/>
          </w:tcPr>
          <w:p>
            <w:pPr>
              <w:adjustRightInd w:val="0"/>
              <w:snapToGrid w:val="0"/>
              <w:spacing w:line="320" w:lineRule="exact"/>
              <w:jc w:val="center"/>
              <w:rPr>
                <w:rFonts w:ascii="仿宋_GB2312" w:eastAsia="仿宋_GB2312"/>
                <w:b/>
                <w:bCs/>
              </w:rPr>
            </w:pPr>
          </w:p>
        </w:tc>
        <w:tc>
          <w:tcPr>
            <w:tcW w:w="544" w:type="dxa"/>
            <w:vMerge w:val="continue"/>
            <w:vAlign w:val="center"/>
          </w:tcPr>
          <w:p>
            <w:pPr>
              <w:adjustRightInd w:val="0"/>
              <w:snapToGrid w:val="0"/>
              <w:spacing w:line="320" w:lineRule="exact"/>
              <w:jc w:val="center"/>
              <w:rPr>
                <w:rFonts w:ascii="仿宋_GB2312" w:eastAsia="仿宋_GB2312"/>
                <w:b/>
                <w:bCs/>
              </w:rPr>
            </w:pPr>
          </w:p>
        </w:tc>
        <w:tc>
          <w:tcPr>
            <w:tcW w:w="732" w:type="dxa"/>
            <w:vMerge w:val="continue"/>
            <w:vAlign w:val="center"/>
          </w:tcPr>
          <w:p>
            <w:pPr>
              <w:adjustRightInd w:val="0"/>
              <w:snapToGrid w:val="0"/>
              <w:spacing w:line="320" w:lineRule="exact"/>
              <w:jc w:val="center"/>
              <w:rPr>
                <w:rFonts w:ascii="仿宋_GB2312" w:eastAsia="仿宋_GB2312"/>
                <w:b/>
                <w:bCs/>
              </w:rPr>
            </w:pPr>
          </w:p>
        </w:tc>
        <w:tc>
          <w:tcPr>
            <w:tcW w:w="624" w:type="dxa"/>
            <w:vMerge w:val="continue"/>
            <w:vAlign w:val="center"/>
          </w:tcPr>
          <w:p>
            <w:pPr>
              <w:adjustRightInd w:val="0"/>
              <w:snapToGrid w:val="0"/>
              <w:spacing w:line="320" w:lineRule="exact"/>
              <w:jc w:val="center"/>
              <w:rPr>
                <w:rFonts w:ascii="仿宋_GB2312" w:eastAsia="仿宋_GB2312"/>
                <w:b/>
                <w:bCs/>
              </w:rPr>
            </w:pPr>
          </w:p>
        </w:tc>
        <w:tc>
          <w:tcPr>
            <w:tcW w:w="924" w:type="dxa"/>
            <w:vMerge w:val="continue"/>
            <w:vAlign w:val="center"/>
          </w:tcPr>
          <w:p>
            <w:pPr>
              <w:adjustRightInd w:val="0"/>
              <w:snapToGrid w:val="0"/>
              <w:spacing w:line="320" w:lineRule="exact"/>
              <w:jc w:val="center"/>
              <w:rPr>
                <w:rFonts w:ascii="仿宋_GB2312" w:eastAsia="仿宋_GB2312"/>
                <w:b/>
                <w:bCs/>
              </w:rPr>
            </w:pPr>
          </w:p>
        </w:tc>
        <w:tc>
          <w:tcPr>
            <w:tcW w:w="948" w:type="dxa"/>
            <w:vAlign w:val="center"/>
          </w:tcPr>
          <w:p>
            <w:pPr>
              <w:spacing w:line="320" w:lineRule="exact"/>
              <w:jc w:val="center"/>
              <w:rPr>
                <w:rFonts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eastAsia="仿宋_GB2312"/>
                <w:b/>
                <w:szCs w:val="21"/>
              </w:rPr>
            </w:pPr>
            <w:r>
              <w:rPr>
                <w:rFonts w:hint="eastAsia" w:eastAsia="仿宋_GB2312"/>
                <w:b/>
                <w:szCs w:val="21"/>
              </w:rPr>
              <w:t>建筑密度</w:t>
            </w:r>
          </w:p>
          <w:p>
            <w:pPr>
              <w:autoSpaceDE w:val="0"/>
              <w:autoSpaceDN w:val="0"/>
              <w:adjustRightInd w:val="0"/>
              <w:spacing w:line="240" w:lineRule="exact"/>
              <w:jc w:val="center"/>
              <w:rPr>
                <w:rFonts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ascii="仿宋_GB2312" w:eastAsia="仿宋_GB2312"/>
                <w:b/>
                <w:bCs/>
                <w:szCs w:val="21"/>
              </w:rPr>
            </w:pPr>
            <w:r>
              <w:rPr>
                <w:rFonts w:hint="eastAsia" w:ascii="仿宋_GB2312" w:eastAsia="仿宋_GB2312"/>
                <w:b/>
                <w:bCs/>
                <w:szCs w:val="21"/>
              </w:rPr>
              <w:t>容积率</w:t>
            </w:r>
          </w:p>
        </w:tc>
        <w:tc>
          <w:tcPr>
            <w:tcW w:w="1923" w:type="dxa"/>
            <w:vAlign w:val="center"/>
          </w:tcPr>
          <w:p>
            <w:pPr>
              <w:spacing w:line="320" w:lineRule="exact"/>
              <w:ind w:left="51" w:right="-60" w:rightChars="-25" w:hanging="51" w:hangingChars="21"/>
              <w:jc w:val="center"/>
              <w:rPr>
                <w:rFonts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992" w:type="dxa"/>
            <w:vAlign w:val="center"/>
          </w:tcPr>
          <w:p>
            <w:pPr>
              <w:autoSpaceDE w:val="0"/>
              <w:autoSpaceDN w:val="0"/>
              <w:adjustRightInd w:val="0"/>
              <w:spacing w:line="240" w:lineRule="exact"/>
              <w:jc w:val="center"/>
              <w:rPr>
                <w:rFonts w:ascii="仿宋_GB2312" w:eastAsia="仿宋_GB2312"/>
                <w:b/>
                <w:bCs/>
              </w:rPr>
            </w:pPr>
            <w:r>
              <w:rPr>
                <w:rFonts w:hint="eastAsia" w:eastAsia="仿宋_GB2312"/>
                <w:b/>
                <w:szCs w:val="21"/>
              </w:rPr>
              <w:t>机动车停车位配建标准</w:t>
            </w:r>
          </w:p>
        </w:tc>
        <w:tc>
          <w:tcPr>
            <w:tcW w:w="851" w:type="dxa"/>
            <w:vAlign w:val="center"/>
          </w:tcPr>
          <w:p>
            <w:pPr>
              <w:autoSpaceDE w:val="0"/>
              <w:autoSpaceDN w:val="0"/>
              <w:adjustRightInd w:val="0"/>
              <w:spacing w:line="240" w:lineRule="exact"/>
              <w:jc w:val="center"/>
              <w:rPr>
                <w:rFonts w:eastAsia="仿宋_GB2312"/>
                <w:b/>
                <w:szCs w:val="21"/>
              </w:rPr>
            </w:pPr>
            <w:r>
              <w:rPr>
                <w:rFonts w:hint="eastAsia" w:eastAsia="仿宋_GB2312"/>
                <w:b/>
                <w:szCs w:val="21"/>
              </w:rPr>
              <w:t>绿地率</w:t>
            </w:r>
          </w:p>
          <w:p>
            <w:pPr>
              <w:autoSpaceDE w:val="0"/>
              <w:autoSpaceDN w:val="0"/>
              <w:adjustRightInd w:val="0"/>
              <w:spacing w:line="240" w:lineRule="exact"/>
              <w:jc w:val="center"/>
              <w:rPr>
                <w:rFonts w:ascii="仿宋_GB2312" w:eastAsia="仿宋_GB2312"/>
                <w:b/>
                <w:bCs/>
              </w:rPr>
            </w:pPr>
            <w:r>
              <w:rPr>
                <w:rFonts w:hint="eastAsia" w:ascii="宋体" w:hAnsi="宋体" w:cs="宋体"/>
                <w:b/>
                <w:szCs w:val="21"/>
              </w:rPr>
              <w:t>（％）</w:t>
            </w:r>
          </w:p>
        </w:tc>
        <w:tc>
          <w:tcPr>
            <w:tcW w:w="850" w:type="dxa"/>
            <w:vAlign w:val="center"/>
          </w:tcPr>
          <w:p>
            <w:pPr>
              <w:spacing w:line="320" w:lineRule="exact"/>
              <w:ind w:left="51" w:right="-60" w:rightChars="-25" w:hanging="51" w:hangingChars="21"/>
              <w:jc w:val="center"/>
              <w:rPr>
                <w:rFonts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ascii="仿宋_GB2312" w:eastAsia="仿宋_GB2312"/>
                <w:b/>
                <w:bCs/>
              </w:rPr>
            </w:pPr>
          </w:p>
        </w:tc>
        <w:tc>
          <w:tcPr>
            <w:tcW w:w="670" w:type="dxa"/>
            <w:vMerge w:val="continue"/>
            <w:vAlign w:val="center"/>
          </w:tcPr>
          <w:p>
            <w:pPr>
              <w:autoSpaceDE w:val="0"/>
              <w:autoSpaceDN w:val="0"/>
              <w:adjustRightInd w:val="0"/>
              <w:spacing w:line="240" w:lineRule="exact"/>
              <w:jc w:val="cente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530"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GP2020-31</w:t>
            </w:r>
          </w:p>
        </w:tc>
        <w:tc>
          <w:tcPr>
            <w:tcW w:w="544" w:type="dxa"/>
            <w:vAlign w:val="center"/>
          </w:tcPr>
          <w:p>
            <w:pPr>
              <w:jc w:val="center"/>
              <w:rPr>
                <w:rFonts w:ascii="仿宋_GB2312" w:hAnsi="Times New Roman" w:eastAsia="仿宋_GB2312"/>
                <w:b w:val="0"/>
                <w:bCs/>
                <w:szCs w:val="21"/>
              </w:rPr>
            </w:pPr>
            <w:r>
              <w:rPr>
                <w:rFonts w:hint="eastAsia" w:ascii="仿宋_GB2312" w:hAnsi="仿宋_GB2312" w:eastAsia="仿宋_GB2312"/>
                <w:b w:val="0"/>
                <w:bCs/>
                <w:color w:val="000000"/>
                <w:szCs w:val="21"/>
              </w:rPr>
              <w:t>惠</w:t>
            </w:r>
            <w:r>
              <w:rPr>
                <w:rFonts w:hint="eastAsia" w:ascii="仿宋_GB2312" w:hAnsi="仿宋_GB2312" w:eastAsia="仿宋_GB2312"/>
                <w:b w:val="0"/>
                <w:bCs/>
                <w:color w:val="000000"/>
                <w:szCs w:val="21"/>
                <w:lang w:val="en-US" w:eastAsia="zh-CN"/>
              </w:rPr>
              <w:t>城区惠</w:t>
            </w:r>
            <w:r>
              <w:rPr>
                <w:rFonts w:hint="eastAsia" w:ascii="仿宋_GB2312" w:hAnsi="仿宋_GB2312" w:eastAsia="仿宋_GB2312"/>
                <w:b w:val="0"/>
                <w:bCs/>
                <w:color w:val="000000"/>
                <w:szCs w:val="21"/>
              </w:rPr>
              <w:t>南大道</w:t>
            </w:r>
          </w:p>
        </w:tc>
        <w:tc>
          <w:tcPr>
            <w:tcW w:w="732" w:type="dxa"/>
            <w:vAlign w:val="center"/>
          </w:tcPr>
          <w:p>
            <w:pPr>
              <w:jc w:val="center"/>
              <w:rPr>
                <w:rFonts w:ascii="仿宋_GB2312" w:hAnsi="Times New Roman" w:eastAsia="仿宋_GB2312"/>
                <w:b w:val="0"/>
                <w:bCs/>
                <w:szCs w:val="21"/>
              </w:rPr>
            </w:pPr>
            <w:r>
              <w:rPr>
                <w:rFonts w:ascii="仿宋_GB2312" w:hAnsi="仿宋_GB2312" w:eastAsia="仿宋_GB2312"/>
                <w:b w:val="0"/>
                <w:bCs/>
                <w:color w:val="000000"/>
                <w:szCs w:val="21"/>
              </w:rPr>
              <w:t>A01-01-13</w:t>
            </w:r>
          </w:p>
        </w:tc>
        <w:tc>
          <w:tcPr>
            <w:tcW w:w="624" w:type="dxa"/>
            <w:tcMar>
              <w:left w:w="0" w:type="dxa"/>
              <w:right w:w="0" w:type="dxa"/>
            </w:tcMar>
            <w:vAlign w:val="center"/>
          </w:tcPr>
          <w:p>
            <w:pPr>
              <w:jc w:val="center"/>
              <w:rPr>
                <w:rFonts w:ascii="仿宋_GB2312" w:hAnsi="Times New Roman" w:eastAsia="仿宋_GB2312"/>
                <w:szCs w:val="21"/>
              </w:rPr>
            </w:pPr>
            <w:r>
              <w:rPr>
                <w:rFonts w:hint="eastAsia" w:ascii="仿宋_GB2312" w:hAnsi="Times New Roman" w:eastAsia="仿宋_GB2312"/>
                <w:szCs w:val="21"/>
              </w:rPr>
              <w:t>城镇住宅及</w:t>
            </w:r>
            <w:r>
              <w:rPr>
                <w:rFonts w:ascii="仿宋_GB2312" w:hAnsi="Times New Roman" w:eastAsia="仿宋_GB2312"/>
                <w:szCs w:val="21"/>
              </w:rPr>
              <w:t>商服</w:t>
            </w:r>
          </w:p>
        </w:tc>
        <w:tc>
          <w:tcPr>
            <w:tcW w:w="924" w:type="dxa"/>
            <w:vAlign w:val="center"/>
          </w:tcPr>
          <w:p>
            <w:pPr>
              <w:adjustRightInd w:val="0"/>
              <w:snapToGrid w:val="0"/>
              <w:spacing w:line="400" w:lineRule="exact"/>
              <w:jc w:val="center"/>
              <w:rPr>
                <w:rFonts w:eastAsia="仿宋_GB2312"/>
                <w:szCs w:val="21"/>
              </w:rPr>
            </w:pPr>
            <w:r>
              <w:rPr>
                <w:rFonts w:eastAsia="仿宋_GB2312"/>
                <w:szCs w:val="21"/>
              </w:rPr>
              <w:t>1352.16</w:t>
            </w:r>
          </w:p>
        </w:tc>
        <w:tc>
          <w:tcPr>
            <w:tcW w:w="948" w:type="dxa"/>
            <w:vAlign w:val="center"/>
          </w:tcPr>
          <w:p>
            <w:pPr>
              <w:jc w:val="center"/>
              <w:rPr>
                <w:rFonts w:ascii="仿宋_GB2312" w:hAnsi="Times New Roman" w:eastAsia="仿宋_GB2312"/>
                <w:szCs w:val="21"/>
              </w:rPr>
            </w:pPr>
            <w:r>
              <w:rPr>
                <w:rFonts w:eastAsia="仿宋_GB2312"/>
                <w:szCs w:val="21"/>
              </w:rPr>
              <w:t>3291.03</w:t>
            </w:r>
          </w:p>
        </w:tc>
        <w:tc>
          <w:tcPr>
            <w:tcW w:w="720" w:type="dxa"/>
            <w:vAlign w:val="center"/>
          </w:tcPr>
          <w:p>
            <w:pPr>
              <w:adjustRightInd w:val="0"/>
              <w:snapToGrid w:val="0"/>
              <w:spacing w:line="400" w:lineRule="exact"/>
              <w:jc w:val="center"/>
              <w:rPr>
                <w:rFonts w:ascii="仿宋_GB2312" w:hAnsi="Times New Roman" w:eastAsia="仿宋_GB2312"/>
                <w:szCs w:val="21"/>
              </w:rPr>
            </w:pPr>
            <w:r>
              <w:rPr>
                <w:rFonts w:hint="eastAsia" w:eastAsia="仿宋_GB2312"/>
                <w:szCs w:val="21"/>
              </w:rPr>
              <w:t>≤</w:t>
            </w:r>
            <w:r>
              <w:rPr>
                <w:rFonts w:ascii="仿宋_GB2312" w:hAnsi="仿宋_GB2312" w:eastAsia="仿宋_GB2312"/>
                <w:color w:val="000000"/>
                <w:szCs w:val="21"/>
              </w:rPr>
              <w:t>30</w:t>
            </w:r>
          </w:p>
        </w:tc>
        <w:tc>
          <w:tcPr>
            <w:tcW w:w="672" w:type="dxa"/>
            <w:vAlign w:val="center"/>
          </w:tcPr>
          <w:p>
            <w:pPr>
              <w:adjustRightInd w:val="0"/>
              <w:snapToGrid w:val="0"/>
              <w:spacing w:line="400" w:lineRule="exact"/>
              <w:jc w:val="center"/>
              <w:rPr>
                <w:rFonts w:ascii="仿宋_GB2312" w:hAnsi="Times New Roman" w:eastAsia="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3.5</w:t>
            </w:r>
          </w:p>
        </w:tc>
        <w:tc>
          <w:tcPr>
            <w:tcW w:w="1923" w:type="dxa"/>
            <w:vAlign w:val="center"/>
          </w:tcPr>
          <w:p>
            <w:pPr>
              <w:adjustRightInd w:val="0"/>
              <w:snapToGrid w:val="0"/>
              <w:spacing w:line="400" w:lineRule="exact"/>
              <w:jc w:val="center"/>
              <w:rPr>
                <w:rFonts w:ascii="Times New Roman" w:hAnsi="Times New Roman" w:eastAsia="仿宋_GB2312"/>
                <w:color w:val="000000"/>
                <w:szCs w:val="21"/>
              </w:rPr>
            </w:pPr>
            <w:r>
              <w:rPr>
                <w:rFonts w:ascii="Times New Roman" w:hAnsi="Times New Roman" w:eastAsia="仿宋_GB2312"/>
                <w:color w:val="000000"/>
                <w:szCs w:val="21"/>
              </w:rPr>
              <w:t>≤11516</w:t>
            </w:r>
            <w:r>
              <w:rPr>
                <w:rFonts w:ascii="Times New Roman" w:hAnsi="Times New Roman" w:eastAsia="Microsoft JhengHei"/>
                <w:color w:val="000000"/>
                <w:szCs w:val="21"/>
              </w:rPr>
              <w:t>㎡</w:t>
            </w:r>
            <w:r>
              <w:rPr>
                <w:rFonts w:hint="eastAsia" w:ascii="仿宋_GB2312" w:hAnsi="Times New Roman" w:eastAsia="仿宋_GB2312"/>
                <w:color w:val="000000"/>
                <w:szCs w:val="21"/>
              </w:rPr>
              <w:t>(</w:t>
            </w:r>
            <w:r>
              <w:rPr>
                <w:rFonts w:ascii="Times New Roman" w:hAnsi="Times New Roman" w:eastAsia="仿宋_GB2312"/>
                <w:color w:val="000000"/>
                <w:szCs w:val="21"/>
              </w:rPr>
              <w:t>其中：住宅建筑面积≤7896</w:t>
            </w:r>
            <w:r>
              <w:rPr>
                <w:rFonts w:ascii="Times New Roman" w:hAnsi="Times New Roman" w:eastAsia="Microsoft JhengHei"/>
                <w:color w:val="000000"/>
                <w:szCs w:val="21"/>
              </w:rPr>
              <w:t>㎡</w:t>
            </w:r>
            <w:r>
              <w:rPr>
                <w:rFonts w:ascii="Times New Roman" w:hAnsi="Times New Roman" w:eastAsia="仿宋_GB2312"/>
                <w:color w:val="000000"/>
                <w:szCs w:val="21"/>
              </w:rPr>
              <w:t>; 商业服务业设施建设面积≤3233</w:t>
            </w:r>
            <w:r>
              <w:rPr>
                <w:rFonts w:ascii="Times New Roman" w:hAnsi="Times New Roman" w:eastAsia="Microsoft JhengHei"/>
                <w:color w:val="000000"/>
                <w:szCs w:val="21"/>
              </w:rPr>
              <w:t>㎡</w:t>
            </w:r>
            <w:r>
              <w:rPr>
                <w:rFonts w:ascii="Times New Roman" w:hAnsi="Times New Roman" w:eastAsia="仿宋_GB2312"/>
                <w:color w:val="000000"/>
                <w:szCs w:val="21"/>
              </w:rPr>
              <w:t>;配套设施建设面积≥387</w:t>
            </w:r>
            <w:r>
              <w:rPr>
                <w:rFonts w:ascii="Times New Roman" w:hAnsi="Times New Roman" w:eastAsia="Microsoft JhengHei"/>
                <w:color w:val="000000"/>
                <w:szCs w:val="21"/>
              </w:rPr>
              <w:t>㎡</w:t>
            </w:r>
            <w:r>
              <w:rPr>
                <w:rFonts w:hint="eastAsia" w:ascii="仿宋_GB2312" w:hAnsi="Times New Roman" w:eastAsia="仿宋_GB2312"/>
                <w:color w:val="000000"/>
                <w:szCs w:val="21"/>
              </w:rPr>
              <w:t>)</w:t>
            </w:r>
          </w:p>
        </w:tc>
        <w:tc>
          <w:tcPr>
            <w:tcW w:w="992" w:type="dxa"/>
            <w:vAlign w:val="center"/>
          </w:tcPr>
          <w:p>
            <w:pPr>
              <w:adjustRightInd w:val="0"/>
              <w:snapToGrid w:val="0"/>
              <w:spacing w:line="400" w:lineRule="exact"/>
              <w:jc w:val="center"/>
              <w:rPr>
                <w:rFonts w:ascii="仿宋_GB2312" w:hAnsi="Times New Roman" w:eastAsia="仿宋_GB2312"/>
                <w:szCs w:val="21"/>
              </w:rPr>
            </w:pPr>
            <w:r>
              <w:rPr>
                <w:rFonts w:hint="eastAsia" w:ascii="仿宋_GB2312" w:hAnsi="仿宋_GB2312" w:eastAsia="仿宋_GB2312" w:cs="仿宋_GB2312"/>
                <w:szCs w:val="21"/>
              </w:rPr>
              <w:t>每100平方米计容积率面积</w:t>
            </w:r>
            <w:r>
              <w:rPr>
                <w:rFonts w:hint="eastAsia" w:ascii="仿宋_GB2312" w:hAnsi="Arial" w:eastAsia="仿宋_GB2312" w:cs="Arial"/>
                <w:szCs w:val="21"/>
              </w:rPr>
              <w:t>≥</w:t>
            </w:r>
            <w:r>
              <w:rPr>
                <w:rFonts w:hint="eastAsia" w:ascii="仿宋_GB2312" w:hAnsi="仿宋_GB2312" w:eastAsia="仿宋_GB2312" w:cs="仿宋_GB2312"/>
                <w:szCs w:val="21"/>
              </w:rPr>
              <w:t>1个</w:t>
            </w:r>
          </w:p>
        </w:tc>
        <w:tc>
          <w:tcPr>
            <w:tcW w:w="851" w:type="dxa"/>
            <w:vAlign w:val="center"/>
          </w:tcPr>
          <w:p>
            <w:pPr>
              <w:adjustRightInd w:val="0"/>
              <w:snapToGrid w:val="0"/>
              <w:spacing w:line="400" w:lineRule="exact"/>
              <w:jc w:val="center"/>
              <w:rPr>
                <w:rFonts w:ascii="仿宋_GB2312" w:hAnsi="Times New Roman" w:eastAsia="仿宋_GB2312"/>
                <w:szCs w:val="21"/>
              </w:rPr>
            </w:pPr>
            <w:r>
              <w:rPr>
                <w:rFonts w:hint="eastAsia" w:ascii="仿宋_GB2312" w:hAnsi="Arial" w:eastAsia="仿宋_GB2312" w:cs="Arial"/>
                <w:szCs w:val="21"/>
              </w:rPr>
              <w:t>≥</w:t>
            </w:r>
            <w:r>
              <w:rPr>
                <w:rFonts w:ascii="仿宋_GB2312" w:hAnsi="仿宋_GB2312" w:eastAsia="仿宋_GB2312" w:cs="仿宋_GB2312"/>
                <w:szCs w:val="21"/>
              </w:rPr>
              <w:t>30</w:t>
            </w:r>
          </w:p>
        </w:tc>
        <w:tc>
          <w:tcPr>
            <w:tcW w:w="850" w:type="dxa"/>
            <w:vAlign w:val="center"/>
          </w:tcPr>
          <w:p>
            <w:pPr>
              <w:ind w:leftChars="-51" w:right="-134" w:rightChars="-56" w:hanging="122" w:hangingChars="51"/>
              <w:jc w:val="center"/>
              <w:rPr>
                <w:rFonts w:ascii="仿宋_GB2312" w:hAnsi="Times New Roman" w:eastAsia="仿宋_GB2312"/>
                <w:szCs w:val="21"/>
              </w:rPr>
            </w:pPr>
            <w:r>
              <w:rPr>
                <w:rFonts w:hint="eastAsia" w:ascii="仿宋_GB2312" w:hAnsi="仿宋_GB2312" w:eastAsia="仿宋_GB2312"/>
                <w:color w:val="000000"/>
                <w:szCs w:val="21"/>
              </w:rPr>
              <w:t>住宅和商业、商务、娱乐康体及配套设施</w:t>
            </w:r>
          </w:p>
        </w:tc>
        <w:tc>
          <w:tcPr>
            <w:tcW w:w="670" w:type="dxa"/>
            <w:vAlign w:val="center"/>
          </w:tcPr>
          <w:p>
            <w:pPr>
              <w:ind w:leftChars="-51" w:right="-134" w:rightChars="-56" w:hanging="122" w:hangingChars="51"/>
              <w:jc w:val="center"/>
              <w:rPr>
                <w:rFonts w:ascii="仿宋_GB2312" w:hAnsi="仿宋_GB2312" w:eastAsia="仿宋_GB2312"/>
                <w:color w:val="000000"/>
                <w:szCs w:val="21"/>
              </w:rPr>
            </w:pPr>
            <w:r>
              <w:rPr>
                <w:rFonts w:hint="eastAsia" w:ascii="仿宋_GB2312" w:hAnsi="仿宋_GB2312" w:eastAsia="仿宋_GB2312"/>
                <w:color w:val="000000"/>
                <w:szCs w:val="21"/>
              </w:rPr>
              <w:t>城镇住宅70年；商服40年。</w:t>
            </w:r>
          </w:p>
        </w:tc>
      </w:tr>
    </w:tbl>
    <w:p>
      <w:pPr>
        <w:tabs>
          <w:tab w:val="left" w:pos="9720"/>
        </w:tabs>
        <w:spacing w:line="360" w:lineRule="auto"/>
        <w:jc w:val="center"/>
        <w:rPr>
          <w:rFonts w:hint="default" w:ascii="Times New Roman" w:hAnsi="Times New Roman" w:eastAsia="方正小标宋_GBK" w:cs="Times New Roman"/>
          <w:b/>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D17F2"/>
    <w:rsid w:val="03A679CF"/>
    <w:rsid w:val="12864A80"/>
    <w:rsid w:val="1CA7174D"/>
    <w:rsid w:val="2F23194D"/>
    <w:rsid w:val="321535B6"/>
    <w:rsid w:val="549C2ABF"/>
    <w:rsid w:val="59C75C5F"/>
    <w:rsid w:val="6A6074D6"/>
    <w:rsid w:val="6EB1014E"/>
    <w:rsid w:val="792B3248"/>
    <w:rsid w:val="7B7D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7</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2020-08-14T06:37:00Z</dcterms:created>
  <dc:creator>黄春枚</dc:creator>
  <cp:lastModifiedBy>Administrator</cp:lastModifiedBy>
  <cp:lastPrinted>2020-08-20T02:46:00Z</cp:lastPrinted>
  <dcterms:modified xsi:type="dcterms:W3CDTF">2020-08-20T03:32:43Z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