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highlight w:val="none"/>
        </w:rPr>
      </w:pPr>
      <w:r>
        <w:rPr>
          <w:rFonts w:hint="eastAsia" w:ascii="方正小标宋_GBK" w:hAnsi="华文中宋" w:eastAsia="方正小标宋_GBK"/>
          <w:b/>
          <w:bCs/>
          <w:spacing w:val="3"/>
          <w:sz w:val="44"/>
          <w:szCs w:val="44"/>
          <w:highlight w:val="none"/>
        </w:rPr>
        <w:t>惠州市国有建设用地使用权</w:t>
      </w:r>
    </w:p>
    <w:p>
      <w:pPr>
        <w:tabs>
          <w:tab w:val="left" w:pos="11340"/>
        </w:tabs>
        <w:spacing w:line="600" w:lineRule="exact"/>
        <w:jc w:val="center"/>
        <w:rPr>
          <w:rFonts w:ascii="方正小标宋_GBK" w:eastAsia="方正小标宋_GBK"/>
          <w:b/>
          <w:bCs/>
          <w:spacing w:val="3"/>
          <w:sz w:val="48"/>
          <w:highlight w:val="none"/>
        </w:rPr>
      </w:pPr>
      <w:r>
        <w:rPr>
          <w:rFonts w:hint="eastAsia" w:ascii="方正小标宋_GBK" w:hAnsi="华文中宋" w:eastAsia="方正小标宋_GBK"/>
          <w:b/>
          <w:bCs/>
          <w:spacing w:val="3"/>
          <w:sz w:val="44"/>
          <w:szCs w:val="44"/>
          <w:highlight w:val="none"/>
        </w:rPr>
        <w:t>网上挂牌</w:t>
      </w:r>
      <w:r>
        <w:rPr>
          <w:rFonts w:hint="eastAsia" w:ascii="方正小标宋_GBK" w:hAnsi="华文中宋" w:eastAsia="方正小标宋_GBK"/>
          <w:b/>
          <w:bCs/>
          <w:sz w:val="44"/>
          <w:szCs w:val="44"/>
          <w:highlight w:val="none"/>
        </w:rPr>
        <w:t>出让须知</w:t>
      </w:r>
    </w:p>
    <w:p>
      <w:pPr>
        <w:spacing w:line="60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惠公易土市直[20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025</w:t>
      </w:r>
      <w:r>
        <w:rPr>
          <w:rFonts w:hint="eastAsia" w:ascii="仿宋_GB2312" w:hAnsi="仿宋_GB2312" w:eastAsia="仿宋_GB2312" w:cs="仿宋_GB2312"/>
          <w:sz w:val="32"/>
          <w:szCs w:val="32"/>
          <w:highlight w:val="none"/>
        </w:rPr>
        <w:t>号</w:t>
      </w:r>
    </w:p>
    <w:p>
      <w:pPr>
        <w:rPr>
          <w:rFonts w:ascii="仿宋_GB2312" w:hAnsi="仿宋_GB2312" w:eastAsia="仿宋_GB2312" w:cs="仿宋_GB2312"/>
          <w:sz w:val="32"/>
          <w:szCs w:val="32"/>
          <w:highlight w:val="none"/>
        </w:rPr>
      </w:pP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根据《中华人民共和国土地管理法》、《中华人民共和国城市房地产管理法》、《招标拍卖挂牌出让国有建设用地使用权规定》以及《招标拍卖挂牌出让国有土地使用权规范》等有关规定，经惠州市</w:t>
      </w:r>
      <w:r>
        <w:rPr>
          <w:rFonts w:hint="eastAsia" w:ascii="仿宋_GB2312" w:hAnsi="仿宋_GB2312" w:eastAsia="仿宋_GB2312" w:cs="仿宋_GB2312"/>
          <w:sz w:val="32"/>
          <w:szCs w:val="32"/>
          <w:highlight w:val="none"/>
          <w:lang w:val="en-US" w:eastAsia="zh-CN"/>
        </w:rPr>
        <w:t>惠城区</w:t>
      </w:r>
      <w:r>
        <w:rPr>
          <w:rFonts w:hint="eastAsia" w:ascii="仿宋_GB2312" w:hAnsi="仿宋_GB2312" w:eastAsia="仿宋_GB2312" w:cs="仿宋_GB2312"/>
          <w:sz w:val="32"/>
          <w:szCs w:val="32"/>
          <w:highlight w:val="none"/>
        </w:rPr>
        <w:t>人民政府批准，受惠州市</w:t>
      </w:r>
      <w:r>
        <w:rPr>
          <w:rFonts w:hint="eastAsia" w:ascii="仿宋_GB2312" w:hAnsi="仿宋_GB2312" w:eastAsia="仿宋_GB2312" w:cs="仿宋_GB2312"/>
          <w:sz w:val="32"/>
          <w:szCs w:val="32"/>
          <w:highlight w:val="none"/>
          <w:lang w:val="en-US" w:eastAsia="zh-CN"/>
        </w:rPr>
        <w:t>惠城区</w:t>
      </w:r>
      <w:r>
        <w:rPr>
          <w:rFonts w:hint="eastAsia" w:ascii="仿宋_GB2312" w:hAnsi="仿宋_GB2312" w:eastAsia="仿宋_GB2312" w:cs="仿宋_GB2312"/>
          <w:sz w:val="32"/>
          <w:szCs w:val="32"/>
          <w:highlight w:val="none"/>
        </w:rPr>
        <w:t>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一、本次国有建设用地使用权网上挂牌出让的出让人为惠州市</w:t>
      </w:r>
      <w:r>
        <w:rPr>
          <w:rFonts w:hint="eastAsia" w:ascii="仿宋_GB2312" w:hAnsi="仿宋_GB2312" w:eastAsia="仿宋_GB2312" w:cs="仿宋_GB2312"/>
          <w:b/>
          <w:bCs/>
          <w:sz w:val="32"/>
          <w:szCs w:val="32"/>
          <w:highlight w:val="none"/>
          <w:lang w:val="en-US" w:eastAsia="zh-CN"/>
        </w:rPr>
        <w:t>惠城区</w:t>
      </w:r>
      <w:r>
        <w:rPr>
          <w:rFonts w:hint="eastAsia" w:ascii="仿宋_GB2312" w:hAnsi="仿宋_GB2312" w:eastAsia="仿宋_GB2312" w:cs="仿宋_GB2312"/>
          <w:b/>
          <w:bCs/>
          <w:sz w:val="32"/>
          <w:szCs w:val="32"/>
          <w:highlight w:val="none"/>
        </w:rPr>
        <w:t>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三、出让地块的基本情况及规划指标要求</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（一）挂牌地块编号：GP20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w:t>
      </w:r>
    </w:p>
    <w:p>
      <w:pPr>
        <w:tabs>
          <w:tab w:val="left" w:pos="3388"/>
        </w:tabs>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en-US" w:eastAsia="zh-CN"/>
        </w:rPr>
        <w:t>）地块位置：惠城区高新科技产业园鹿岗片区LG01-01-03地块;</w:t>
      </w:r>
    </w:p>
    <w:p>
      <w:pPr>
        <w:tabs>
          <w:tab w:val="left" w:pos="3388"/>
        </w:tabs>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（三）地块编号：LG01-01-03;</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（四）地块范围：平面界址点以宗地图为准，宗地竖向界限以《建设用地规划设计条件》（PB20210059号）规定为准；</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宗地使用权面积为：54390.01平方米；</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（六）计算指标用地面积为：67823平方米；</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（七）计容积率建筑面积：108517-169557（其中配套设施建筑面积≥100）；</w:t>
      </w:r>
    </w:p>
    <w:p>
      <w:pPr>
        <w:tabs>
          <w:tab w:val="left" w:pos="840"/>
          <w:tab w:val="left" w:pos="3388"/>
        </w:tabs>
        <w:spacing w:line="56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（八）容积率为：1.6-2.5；</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（九）建筑密度为：≥30%；</w:t>
      </w:r>
    </w:p>
    <w:p>
      <w:pPr>
        <w:tabs>
          <w:tab w:val="left" w:pos="3388"/>
        </w:tabs>
        <w:spacing w:line="56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十）机动车停车位配建标准：行政办公及生活服务设施每100平方米计容积率建筑面积≥1个，厂房每100平方米计容积率建筑面积≥0.3个，停车场须按不低于总停车位的10%的比例配置充电设施；</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十一</w:t>
      </w:r>
      <w:r>
        <w:rPr>
          <w:rFonts w:hint="eastAsia" w:ascii="仿宋_GB2312" w:hAnsi="仿宋_GB2312" w:eastAsia="仿宋_GB2312" w:cs="仿宋_GB2312"/>
          <w:sz w:val="32"/>
          <w:szCs w:val="32"/>
          <w:highlight w:val="none"/>
        </w:rPr>
        <w:t>）土地用途为：</w:t>
      </w:r>
      <w:r>
        <w:rPr>
          <w:rFonts w:hint="eastAsia" w:ascii="仿宋_GB2312" w:hAnsi="仿宋_GB2312" w:eastAsia="仿宋_GB2312" w:cs="仿宋_GB2312"/>
          <w:sz w:val="32"/>
          <w:szCs w:val="32"/>
          <w:highlight w:val="none"/>
          <w:lang w:val="en-US" w:eastAsia="zh-CN"/>
        </w:rPr>
        <w:t>一类工业用地</w:t>
      </w:r>
      <w:r>
        <w:rPr>
          <w:rFonts w:hint="eastAsia" w:ascii="仿宋_GB2312" w:hAnsi="仿宋_GB2312" w:eastAsia="仿宋_GB2312" w:cs="仿宋_GB2312"/>
          <w:sz w:val="32"/>
          <w:szCs w:val="32"/>
          <w:highlight w:val="none"/>
        </w:rPr>
        <w:t>；</w:t>
      </w:r>
    </w:p>
    <w:p>
      <w:pPr>
        <w:tabs>
          <w:tab w:val="left" w:pos="3388"/>
        </w:tabs>
        <w:spacing w:line="560" w:lineRule="exact"/>
        <w:ind w:left="0" w:leftChars="0"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）土地使用权出让年</w:t>
      </w:r>
      <w:r>
        <w:rPr>
          <w:rFonts w:hint="eastAsia" w:ascii="仿宋_GB2312" w:hAnsi="仿宋_GB2312" w:eastAsia="仿宋_GB2312" w:cs="仿宋_GB2312"/>
          <w:sz w:val="32"/>
          <w:szCs w:val="32"/>
          <w:highlight w:val="none"/>
          <w:lang w:val="en-US" w:eastAsia="zh-CN"/>
        </w:rPr>
        <w:t>限</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50年</w:t>
      </w:r>
      <w:r>
        <w:rPr>
          <w:rFonts w:hint="eastAsia" w:ascii="仿宋_GB2312" w:hAnsi="仿宋_GB2312" w:eastAsia="仿宋_GB2312" w:cs="仿宋_GB2312"/>
          <w:sz w:val="32"/>
          <w:szCs w:val="32"/>
          <w:highlight w:val="none"/>
        </w:rPr>
        <w:t>；</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产业类型</w:t>
      </w:r>
      <w:r>
        <w:rPr>
          <w:rFonts w:hint="eastAsia" w:ascii="仿宋_GB2312" w:hAnsi="仿宋_GB2312" w:eastAsia="仿宋_GB2312" w:cs="仿宋_GB2312"/>
          <w:sz w:val="32"/>
          <w:szCs w:val="32"/>
          <w:highlight w:val="none"/>
        </w:rPr>
        <w:t>：专业产业园区运营、科技推广和应用服务业用地；</w:t>
      </w:r>
    </w:p>
    <w:p>
      <w:pPr>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 动工及竣工时间：该地块动工时间为地块交付之日起一年内，竣工时间为土地交付之日起三年内（因不可抗拒因素除外）；</w:t>
      </w:r>
    </w:p>
    <w:p>
      <w:pPr>
        <w:tabs>
          <w:tab w:val="left" w:pos="3388"/>
        </w:tabs>
        <w:spacing w:line="560" w:lineRule="exact"/>
        <w:jc w:val="left"/>
        <w:rPr>
          <w:rFonts w:hint="eastAsia" w:ascii="Times New Roman" w:hAnsi="Times New Roman" w:eastAsia="仿宋_GB2312"/>
          <w:sz w:val="30"/>
          <w:szCs w:val="30"/>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 xml:space="preserve">）本地块交付时间为《国有土地使用权出让合同》签订之日。 </w:t>
      </w:r>
    </w:p>
    <w:p>
      <w:pP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四、土地开发及使用规定</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eastAsia="仿宋_GB2312"/>
          <w:sz w:val="32"/>
          <w:szCs w:val="32"/>
          <w:highlight w:val="none"/>
        </w:rPr>
        <w:t>（一）</w:t>
      </w:r>
      <w:r>
        <w:rPr>
          <w:rFonts w:hint="eastAsia" w:ascii="仿宋_GB2312" w:hAnsi="仿宋_GB2312" w:eastAsia="仿宋_GB2312" w:cs="仿宋_GB2312"/>
          <w:sz w:val="32"/>
          <w:szCs w:val="32"/>
          <w:highlight w:val="none"/>
          <w:lang w:eastAsia="zh-CN"/>
        </w:rPr>
        <w:t>开发投资总额不少于人民币</w:t>
      </w:r>
      <w:r>
        <w:rPr>
          <w:rFonts w:hint="eastAsia" w:ascii="仿宋_GB2312" w:hAnsi="宋体" w:eastAsia="仿宋_GB2312" w:cs="宋体"/>
          <w:color w:val="auto"/>
          <w:kern w:val="0"/>
          <w:sz w:val="32"/>
          <w:szCs w:val="32"/>
          <w:highlight w:val="none"/>
          <w:lang w:val="en-US" w:eastAsia="zh-CN"/>
        </w:rPr>
        <w:t>101734</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eastAsia="zh-CN"/>
        </w:rPr>
        <w:t>（含地价）。</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eastAsia="仿宋_GB2312"/>
          <w:sz w:val="32"/>
          <w:szCs w:val="32"/>
          <w:highlight w:val="none"/>
        </w:rPr>
        <w:t>（二）</w:t>
      </w:r>
      <w:r>
        <w:rPr>
          <w:rFonts w:hint="eastAsia" w:ascii="仿宋_GB2312" w:hAnsi="仿宋_GB2312" w:eastAsia="仿宋_GB2312" w:cs="仿宋_GB2312"/>
          <w:sz w:val="32"/>
          <w:szCs w:val="32"/>
          <w:highlight w:val="none"/>
          <w:lang w:eastAsia="zh-CN"/>
        </w:rPr>
        <w:t>土地成交价款须以人民币支付,竞得人在签订《出让合同》之日起30日内付清全部成交价款。</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（三）竞得人在用地红线内开发建设必须符合城市规划要求，必须按</w:t>
      </w:r>
      <w:r>
        <w:rPr>
          <w:rFonts w:hint="eastAsia" w:ascii="仿宋_GB2312" w:hAnsi="宋体" w:eastAsia="仿宋_GB2312" w:cs="宋体"/>
          <w:color w:val="auto"/>
          <w:kern w:val="0"/>
          <w:sz w:val="32"/>
          <w:szCs w:val="32"/>
          <w:highlight w:val="none"/>
          <w:lang w:eastAsia="zh-CN"/>
        </w:rPr>
        <w:t>项目规划建设方案</w:t>
      </w:r>
      <w:r>
        <w:rPr>
          <w:rFonts w:hint="eastAsia" w:ascii="仿宋_GB2312" w:hAnsi="仿宋_GB2312" w:eastAsia="仿宋_GB2312" w:cs="仿宋_GB2312"/>
          <w:sz w:val="32"/>
          <w:szCs w:val="32"/>
          <w:highlight w:val="none"/>
          <w:lang w:eastAsia="zh-CN"/>
        </w:rPr>
        <w:t>的要求进行规划设计。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（四）项目规划建设方案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所报总平面图的主要技术经济指标：规划布局22栋厂房、1栋宿舍，计算指标用地面积67823平方米，建筑层数地上最高13层（建筑高度最高47.6米），计容积率建筑面积122081.4平方米（其中生活服务设施建筑面积占比16.05%），容积率1.8，建筑密度32.45%（其中生活服务设施基底面积占用地面积比3.53%），绿地率15%，机动车停车位504个，非机动车停车位611个，申请人防易地建设面积2385.98平方米。所报方案主要技术指标符合《建设用地规划设计条件》（PB20210059)相关要求，须按程序进行公示，公示期未收到公众意见后则同意所报总平面图及单体建筑设计方案。排水须采用雨、污分流制，并预留市政管线接驳口，建筑设计须符合国家、省、市有关绿色建筑和建筑节能方面的技术规范和标准，须按海绵城市设计要求做好设计及施工</w:t>
      </w:r>
      <w:r>
        <w:rPr>
          <w:rFonts w:hint="eastAsia" w:ascii="仿宋_GB2312" w:hAnsi="仿宋_GB2312" w:eastAsia="仿宋_GB2312" w:cs="仿宋_GB2312"/>
          <w:sz w:val="32"/>
          <w:szCs w:val="32"/>
          <w:highlight w:val="none"/>
          <w:lang w:val="en-US" w:eastAsia="zh-CN"/>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（五）招商条件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投资强度不低于15000元/平方米，土地产出率（工业产值）不低于20000元/平方米/年，税收产出不低于1208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在签订《国有建设用地交地确认书》在未通过指标评价考核之前，原则上不得转让土地使用权和变更开发主体公司股权。确需要转让土地使用权和变更开发主体公司股权的，除满足土地使用权转让和公司股权变更的法律法规政策规定和其他约定外，乙方须报请甲方审定同意，同时将宗地投资建设受本协议约束如实告知其受让方，协助受让方与甲方重新签订协议，并保证本协议的主体从乙方变更为其受让方。本宗地交付乙方后,乙方须向惠州市惠城区高新科技产业园管理委员会提交项目投资计划书和时间安排表，并按月向惠州市惠城区高新科技产业园管理委员会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000000"/>
          <w:kern w:val="0"/>
          <w:sz w:val="32"/>
          <w:szCs w:val="32"/>
          <w:lang w:val="en-US" w:eastAsia="zh-CN"/>
        </w:rPr>
        <w:t>竞得人需与</w:t>
      </w:r>
      <w:r>
        <w:rPr>
          <w:rFonts w:hint="eastAsia" w:ascii="仿宋_GB2312" w:hAnsi="仿宋_GB2312" w:eastAsia="仿宋_GB2312" w:cs="仿宋_GB2312"/>
          <w:b w:val="0"/>
          <w:bCs w:val="0"/>
          <w:color w:val="000000"/>
          <w:kern w:val="0"/>
          <w:sz w:val="32"/>
          <w:szCs w:val="32"/>
          <w:highlight w:val="none"/>
          <w:lang w:val="en-US" w:eastAsia="zh-CN"/>
        </w:rPr>
        <w:t>惠州市惠城区高新科技产业园管理委员会</w:t>
      </w:r>
      <w:r>
        <w:rPr>
          <w:rFonts w:hint="eastAsia" w:ascii="仿宋_GB2312" w:hAnsi="仿宋_GB2312" w:eastAsia="仿宋_GB2312" w:cs="仿宋_GB2312"/>
          <w:b w:val="0"/>
          <w:bCs w:val="0"/>
          <w:color w:val="000000"/>
          <w:kern w:val="0"/>
          <w:sz w:val="32"/>
          <w:szCs w:val="32"/>
          <w:lang w:val="en-US" w:eastAsia="zh-CN"/>
        </w:rPr>
        <w:t>签订《项目实施监管协议书》并完成监管协议公证手续。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）竞得人在签订《成交确认书》前</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须与</w:t>
      </w:r>
      <w:r>
        <w:rPr>
          <w:rFonts w:hint="eastAsia" w:ascii="仿宋_GB2312" w:hAnsi="仿宋_GB2312" w:eastAsia="仿宋_GB2312" w:cs="仿宋_GB2312"/>
          <w:b w:val="0"/>
          <w:bCs w:val="0"/>
          <w:color w:val="000000"/>
          <w:kern w:val="0"/>
          <w:sz w:val="32"/>
          <w:szCs w:val="32"/>
          <w:highlight w:val="none"/>
          <w:lang w:val="en-US" w:eastAsia="zh-CN"/>
        </w:rPr>
        <w:t>惠州市</w:t>
      </w:r>
      <w:r>
        <w:rPr>
          <w:rFonts w:hint="eastAsia" w:ascii="仿宋_GB2312" w:hAnsi="宋体" w:eastAsia="仿宋_GB2312" w:cs="宋体"/>
          <w:color w:val="auto"/>
          <w:kern w:val="0"/>
          <w:sz w:val="32"/>
          <w:szCs w:val="32"/>
          <w:highlight w:val="none"/>
        </w:rPr>
        <w:t>惠城区高新科技产业园</w:t>
      </w:r>
      <w:r>
        <w:rPr>
          <w:rFonts w:hint="eastAsia" w:ascii="仿宋_GB2312" w:hAnsi="宋体" w:eastAsia="仿宋_GB2312" w:cs="宋体"/>
          <w:color w:val="auto"/>
          <w:kern w:val="0"/>
          <w:sz w:val="32"/>
          <w:szCs w:val="32"/>
          <w:highlight w:val="none"/>
          <w:lang w:val="en-US" w:eastAsia="zh-CN"/>
        </w:rPr>
        <w:t>管理委员会</w:t>
      </w:r>
      <w:r>
        <w:rPr>
          <w:rFonts w:hint="eastAsia" w:ascii="仿宋_GB2312" w:hAnsi="仿宋_GB2312" w:eastAsia="仿宋_GB2312" w:cs="仿宋_GB2312"/>
          <w:color w:val="auto"/>
          <w:sz w:val="32"/>
          <w:szCs w:val="32"/>
          <w:highlight w:val="none"/>
        </w:rPr>
        <w:t>签订《</w:t>
      </w:r>
      <w:r>
        <w:rPr>
          <w:rFonts w:hint="eastAsia" w:ascii="仿宋_GB2312" w:hAnsi="仿宋_GB2312" w:eastAsia="仿宋_GB2312" w:cs="仿宋_GB2312"/>
          <w:color w:val="auto"/>
          <w:sz w:val="32"/>
          <w:szCs w:val="32"/>
          <w:highlight w:val="none"/>
          <w:lang w:eastAsia="zh-CN"/>
        </w:rPr>
        <w:t>项目实施监管协议书</w:t>
      </w:r>
      <w:r>
        <w:rPr>
          <w:rFonts w:hint="eastAsia" w:ascii="仿宋_GB2312" w:hAnsi="仿宋_GB2312" w:eastAsia="仿宋_GB2312" w:cs="仿宋_GB2312"/>
          <w:color w:val="auto"/>
          <w:sz w:val="32"/>
          <w:szCs w:val="32"/>
          <w:highlight w:val="none"/>
        </w:rPr>
        <w:t>》，并由</w:t>
      </w:r>
      <w:r>
        <w:rPr>
          <w:rFonts w:hint="eastAsia" w:ascii="仿宋_GB2312" w:hAnsi="仿宋_GB2312" w:eastAsia="仿宋_GB2312" w:cs="仿宋_GB2312"/>
          <w:b w:val="0"/>
          <w:bCs w:val="0"/>
          <w:color w:val="000000"/>
          <w:kern w:val="0"/>
          <w:sz w:val="32"/>
          <w:szCs w:val="32"/>
          <w:highlight w:val="none"/>
          <w:lang w:val="en-US" w:eastAsia="zh-CN"/>
        </w:rPr>
        <w:t>惠州市惠城区高新科技产业园管理委员会</w:t>
      </w:r>
      <w:r>
        <w:rPr>
          <w:rFonts w:hint="eastAsia" w:ascii="仿宋_GB2312" w:hAnsi="仿宋_GB2312" w:eastAsia="仿宋_GB2312" w:cs="仿宋_GB2312"/>
          <w:color w:val="auto"/>
          <w:sz w:val="32"/>
          <w:szCs w:val="32"/>
          <w:highlight w:val="none"/>
        </w:rPr>
        <w:t>对项目用地实施批后监管</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000000"/>
          <w:kern w:val="0"/>
          <w:sz w:val="32"/>
          <w:szCs w:val="32"/>
          <w:highlight w:val="none"/>
        </w:rPr>
        <w:t>竞得人需</w:t>
      </w:r>
      <w:r>
        <w:rPr>
          <w:rFonts w:hint="eastAsia" w:ascii="仿宋_GB2312" w:hAnsi="仿宋_GB2312" w:eastAsia="仿宋_GB2312" w:cs="仿宋_GB2312"/>
          <w:b w:val="0"/>
          <w:bCs w:val="0"/>
          <w:color w:val="000000"/>
          <w:kern w:val="0"/>
          <w:sz w:val="32"/>
          <w:szCs w:val="32"/>
          <w:highlight w:val="none"/>
          <w:lang w:val="en-US" w:eastAsia="zh-CN"/>
        </w:rPr>
        <w:t>按照供电设计相关规范要求，在地块内</w:t>
      </w:r>
      <w:r>
        <w:rPr>
          <w:rFonts w:hint="eastAsia" w:ascii="仿宋_GB2312" w:hAnsi="仿宋_GB2312" w:eastAsia="仿宋_GB2312" w:cs="仿宋_GB2312"/>
          <w:b w:val="0"/>
          <w:bCs w:val="0"/>
          <w:color w:val="000000"/>
          <w:kern w:val="0"/>
          <w:sz w:val="32"/>
          <w:szCs w:val="32"/>
          <w:highlight w:val="none"/>
          <w:lang w:eastAsia="zh-CN"/>
        </w:rPr>
        <w:t>承担建筑面积≥</w:t>
      </w:r>
      <w:r>
        <w:rPr>
          <w:rFonts w:hint="eastAsia" w:ascii="仿宋_GB2312" w:hAnsi="仿宋_GB2312" w:eastAsia="仿宋_GB2312" w:cs="仿宋_GB2312"/>
          <w:b w:val="0"/>
          <w:bCs w:val="0"/>
          <w:color w:val="000000"/>
          <w:kern w:val="0"/>
          <w:sz w:val="32"/>
          <w:szCs w:val="32"/>
          <w:highlight w:val="none"/>
          <w:lang w:val="en-US" w:eastAsia="zh-CN"/>
        </w:rPr>
        <w:t>90㎡、建筑单独占地面积≥90㎡的园区供电开关站配套用房建设，建成后无偿移交给惠城区政府相关部门使用</w:t>
      </w:r>
      <w:r>
        <w:rPr>
          <w:rFonts w:hint="eastAsia" w:ascii="仿宋_GB2312" w:hAnsi="仿宋_GB2312" w:eastAsia="仿宋_GB2312" w:cs="仿宋_GB2312"/>
          <w:color w:val="auto"/>
          <w:sz w:val="32"/>
          <w:szCs w:val="32"/>
          <w:highlight w:val="none"/>
        </w:rPr>
        <w:t>。</w:t>
      </w:r>
    </w:p>
    <w:p>
      <w:pPr>
        <w:tabs>
          <w:tab w:val="left" w:pos="3388"/>
        </w:tabs>
        <w:spacing w:line="560" w:lineRule="exact"/>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中华人民共和国境内外的法人和其他组织（除法律法规另有规定外），均可申请参加竞买。申请人可以单独申请，也可以联合申请。申请人还应具备下列条件：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（一）按时足额交纳竞买保证金</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竞买人缴交的竞买保证金为人民币2010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kern w:val="0"/>
          <w:sz w:val="32"/>
          <w:szCs w:val="32"/>
          <w:highlight w:val="none"/>
        </w:rPr>
        <w:t>。</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val="en-US" w:eastAsia="zh-CN"/>
        </w:rPr>
        <w:t>二</w:t>
      </w:r>
      <w:r>
        <w:rPr>
          <w:rFonts w:hint="eastAsia" w:ascii="仿宋_GB2312" w:hAnsi="仿宋_GB2312" w:eastAsia="仿宋_GB2312" w:cs="仿宋_GB2312"/>
          <w:kern w:val="0"/>
          <w:sz w:val="32"/>
          <w:szCs w:val="32"/>
          <w:highlight w:val="none"/>
        </w:rPr>
        <w:t>）预先办理数字证书。本次国有建设用地使用权网</w:t>
      </w:r>
      <w:r>
        <w:rPr>
          <w:rFonts w:hint="eastAsia" w:ascii="仿宋_GB2312" w:hAnsi="仿宋_GB2312" w:eastAsia="仿宋_GB2312" w:cs="仿宋_GB2312"/>
          <w:sz w:val="32"/>
          <w:szCs w:val="32"/>
          <w:highlight w:val="none"/>
        </w:rPr>
        <w:t>上挂牌出让只能在互联网上，通过惠州市公共资源交易中心土地与矿业网上挂牌交易系统（</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）申请人及其控股股东存在下列违法、违规、违约行为之一的，不得参与上述地块竞买活动：</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1、存在伪造公文骗取用地和非法倒卖土地等犯罪行为的；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2、存在非法转让土地使用权等违法行为的；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3、因企业原因造成土地闲置一年以上且至报名日止未处罚完结的；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4、开发建设企业有违背出让合同约定条件开发利用土地情形且至报名日止未处罚完结的；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5、至报名日止仍拖欠政府地价款的。</w:t>
      </w:r>
    </w:p>
    <w:p>
      <w:pP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六、违约及处理</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竞得人有下列行为之一的，视为违约，取消竞得人资格，</w:t>
      </w:r>
      <w:r>
        <w:rPr>
          <w:rFonts w:hint="eastAsia" w:ascii="仿宋_GB2312" w:hAnsi="仿宋_GB2312" w:eastAsia="仿宋_GB2312" w:cs="仿宋_GB2312"/>
          <w:sz w:val="32"/>
          <w:szCs w:val="32"/>
          <w:highlight w:val="none"/>
          <w:lang w:val="en-US" w:eastAsia="zh-CN"/>
        </w:rPr>
        <w:t>定金不予返还,</w:t>
      </w:r>
      <w:r>
        <w:rPr>
          <w:rFonts w:hint="eastAsia" w:ascii="仿宋_GB2312" w:hAnsi="仿宋_GB2312" w:eastAsia="仿宋_GB2312" w:cs="仿宋_GB2312"/>
          <w:sz w:val="32"/>
          <w:szCs w:val="32"/>
          <w:highlight w:val="none"/>
        </w:rPr>
        <w:t>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（一）不符合竞买资格条件的。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七、网上挂牌出让地块的起始价、增加幅度</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挂牌起始价为人民币</w:t>
      </w:r>
      <w:r>
        <w:rPr>
          <w:rFonts w:hint="eastAsia" w:ascii="仿宋_GB2312" w:hAnsi="仿宋_GB2312" w:eastAsia="仿宋_GB2312" w:cs="仿宋_GB2312"/>
          <w:color w:val="auto"/>
          <w:sz w:val="32"/>
          <w:szCs w:val="32"/>
          <w:highlight w:val="none"/>
          <w:u w:val="single"/>
          <w:lang w:val="en-US" w:eastAsia="zh-CN"/>
        </w:rPr>
        <w:t>陆仟柒佰</w:t>
      </w:r>
      <w:r>
        <w:rPr>
          <w:rFonts w:hint="eastAsia" w:ascii="仿宋_GB2312" w:hAnsi="仿宋_GB2312" w:eastAsia="仿宋_GB2312" w:cs="仿宋_GB2312"/>
          <w:color w:val="auto"/>
          <w:sz w:val="32"/>
          <w:szCs w:val="32"/>
          <w:highlight w:val="none"/>
          <w:u w:val="single"/>
        </w:rPr>
        <w:t>万元整</w:t>
      </w:r>
      <w:r>
        <w:rPr>
          <w:rFonts w:hint="eastAsia" w:ascii="仿宋_GB2312" w:hAnsi="仿宋_GB2312" w:eastAsia="仿宋_GB2312" w:cs="仿宋_GB2312"/>
          <w:color w:val="auto"/>
          <w:sz w:val="32"/>
          <w:szCs w:val="32"/>
          <w:highlight w:val="none"/>
        </w:rPr>
        <w:t>（大写）（￥</w:t>
      </w:r>
      <w:r>
        <w:rPr>
          <w:rFonts w:hint="eastAsia" w:ascii="仿宋_GB2312" w:hAnsi="仿宋_GB2312" w:eastAsia="仿宋_GB2312" w:cs="仿宋_GB2312"/>
          <w:color w:val="auto"/>
          <w:sz w:val="32"/>
          <w:szCs w:val="32"/>
          <w:highlight w:val="none"/>
          <w:u w:val="single"/>
        </w:rPr>
        <w:t>6700</w:t>
      </w:r>
      <w:r>
        <w:rPr>
          <w:rFonts w:hint="eastAsia" w:ascii="仿宋_GB2312" w:hAnsi="仿宋_GB2312" w:eastAsia="仿宋_GB2312" w:cs="仿宋_GB2312"/>
          <w:color w:val="auto"/>
          <w:sz w:val="32"/>
          <w:szCs w:val="32"/>
          <w:highlight w:val="none"/>
        </w:rPr>
        <w:t>万元）,增价幅度为人民币</w:t>
      </w:r>
      <w:r>
        <w:rPr>
          <w:rFonts w:hint="eastAsia" w:ascii="仿宋_GB2312" w:hAnsi="仿宋_GB2312" w:eastAsia="仿宋_GB2312" w:cs="仿宋_GB2312"/>
          <w:color w:val="auto"/>
          <w:sz w:val="32"/>
          <w:szCs w:val="32"/>
          <w:highlight w:val="none"/>
          <w:u w:val="single"/>
          <w:lang w:val="en-US" w:eastAsia="zh-CN"/>
        </w:rPr>
        <w:t>伍拾</w:t>
      </w:r>
      <w:r>
        <w:rPr>
          <w:rFonts w:hint="eastAsia" w:ascii="仿宋_GB2312" w:hAnsi="仿宋_GB2312" w:eastAsia="仿宋_GB2312" w:cs="仿宋_GB2312"/>
          <w:color w:val="auto"/>
          <w:sz w:val="32"/>
          <w:szCs w:val="32"/>
          <w:highlight w:val="none"/>
          <w:u w:val="single"/>
        </w:rPr>
        <w:t>万元</w:t>
      </w:r>
      <w:r>
        <w:rPr>
          <w:rFonts w:hint="eastAsia" w:ascii="仿宋_GB2312" w:hAnsi="仿宋_GB2312" w:eastAsia="仿宋_GB2312" w:cs="仿宋_GB2312"/>
          <w:color w:val="auto"/>
          <w:sz w:val="32"/>
          <w:szCs w:val="32"/>
          <w:highlight w:val="none"/>
        </w:rPr>
        <w:t>（大写）（￥</w:t>
      </w:r>
      <w:r>
        <w:rPr>
          <w:rFonts w:hint="eastAsia" w:ascii="仿宋_GB2312" w:hAnsi="仿宋_GB2312" w:eastAsia="仿宋_GB2312" w:cs="仿宋_GB2312"/>
          <w:color w:val="auto"/>
          <w:sz w:val="32"/>
          <w:szCs w:val="32"/>
          <w:highlight w:val="none"/>
          <w:u w:val="single"/>
          <w:lang w:val="en-US" w:eastAsia="zh-CN"/>
        </w:rPr>
        <w:t>5</w:t>
      </w:r>
      <w:r>
        <w:rPr>
          <w:rFonts w:hint="eastAsia" w:ascii="仿宋_GB2312" w:hAnsi="仿宋_GB2312" w:eastAsia="仿宋_GB2312" w:cs="仿宋_GB2312"/>
          <w:color w:val="auto"/>
          <w:sz w:val="32"/>
          <w:szCs w:val="32"/>
          <w:highlight w:val="none"/>
          <w:u w:val="single"/>
        </w:rPr>
        <w:t>0</w:t>
      </w:r>
      <w:r>
        <w:rPr>
          <w:rFonts w:hint="eastAsia" w:ascii="仿宋_GB2312" w:hAnsi="仿宋_GB2312" w:eastAsia="仿宋_GB2312" w:cs="仿宋_GB2312"/>
          <w:color w:val="auto"/>
          <w:sz w:val="32"/>
          <w:szCs w:val="32"/>
          <w:highlight w:val="none"/>
        </w:rPr>
        <w:t>万元）。</w:t>
      </w:r>
    </w:p>
    <w:p>
      <w:pPr>
        <w:tabs>
          <w:tab w:val="left" w:pos="3388"/>
        </w:tabs>
        <w:spacing w:line="560" w:lineRule="exact"/>
        <w:jc w:val="left"/>
        <w:rPr>
          <w:rFonts w:ascii="仿宋_GB2312" w:hAnsi="仿宋_GB2312" w:eastAsia="仿宋_GB2312" w:cs="仿宋_GB2312"/>
          <w:b/>
          <w:bCs/>
          <w:sz w:val="32"/>
          <w:szCs w:val="32"/>
          <w:highlight w:val="none"/>
        </w:rPr>
      </w:pPr>
      <w:bookmarkStart w:id="3" w:name="104"/>
      <w:r>
        <w:rPr>
          <w:rFonts w:hint="eastAsia" w:ascii="仿宋_GB2312" w:hAnsi="仿宋_GB2312" w:eastAsia="仿宋_GB2312" w:cs="仿宋_GB2312"/>
          <w:b/>
          <w:bCs/>
          <w:sz w:val="32"/>
          <w:szCs w:val="32"/>
          <w:highlight w:val="none"/>
        </w:rPr>
        <w:t>八、</w:t>
      </w:r>
      <w:bookmarkEnd w:id="3"/>
      <w:r>
        <w:rPr>
          <w:rFonts w:hint="eastAsia" w:ascii="仿宋_GB2312" w:hAnsi="仿宋_GB2312" w:eastAsia="仿宋_GB2312" w:cs="仿宋_GB2312"/>
          <w:b/>
          <w:bCs/>
          <w:sz w:val="32"/>
          <w:szCs w:val="32"/>
          <w:highlight w:val="none"/>
        </w:rPr>
        <w:t>本次网上挂牌出让活动有关时间</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（一）网上挂牌起始时间：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highlight w:val="none"/>
        </w:rPr>
        <w:t>9时。</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（二）网上挂牌截止时间：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highlight w:val="none"/>
        </w:rPr>
        <w:t>10时。</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（三）网上挂牌交纳保证金截止时间：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highlight w:val="none"/>
        </w:rPr>
        <w:t>9时。</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九、挂牌文件获取</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申请人可在网上挂牌交易系统浏览或下载本次网上挂牌出让文件，具体包括：</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惠州市国有建设用地使用权网上挂牌出让公告；</w:t>
      </w:r>
    </w:p>
    <w:p>
      <w:pPr>
        <w:tabs>
          <w:tab w:val="left" w:pos="3388"/>
        </w:tabs>
        <w:spacing w:line="560" w:lineRule="exact"/>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2、惠州市国有建设用地使用权网上挂牌出让须知；</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挂牌出让地块现状图；</w:t>
      </w:r>
    </w:p>
    <w:p>
      <w:pPr>
        <w:tabs>
          <w:tab w:val="left" w:pos="3388"/>
        </w:tabs>
        <w:spacing w:line="560" w:lineRule="exact"/>
        <w:ind w:firstLine="640"/>
        <w:jc w:val="left"/>
        <w:rPr>
          <w:rFonts w:hint="default" w:eastAsia="仿宋_GB2312"/>
          <w:highlight w:val="none"/>
          <w:lang w:val="en-US" w:eastAsia="zh-CN"/>
        </w:rPr>
      </w:pPr>
      <w:r>
        <w:rPr>
          <w:rFonts w:hint="eastAsia" w:ascii="仿宋_GB2312" w:hAnsi="仿宋_GB2312" w:eastAsia="仿宋_GB2312" w:cs="仿宋_GB2312"/>
          <w:sz w:val="32"/>
          <w:szCs w:val="32"/>
          <w:highlight w:val="none"/>
          <w:lang w:val="en-US" w:eastAsia="zh-CN"/>
        </w:rPr>
        <w:t>4、红线图；</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宗地规划指标要求；</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惠州市</w:t>
      </w:r>
      <w:r>
        <w:rPr>
          <w:rFonts w:hint="eastAsia" w:ascii="仿宋_GB2312" w:hAnsi="仿宋_GB2312" w:eastAsia="仿宋_GB2312" w:cs="仿宋_GB2312"/>
          <w:sz w:val="32"/>
          <w:szCs w:val="32"/>
          <w:highlight w:val="none"/>
          <w:lang w:val="en-US" w:eastAsia="zh-CN"/>
        </w:rPr>
        <w:t>国有建设用地使用权电子挂牌</w:t>
      </w:r>
      <w:r>
        <w:rPr>
          <w:rFonts w:hint="eastAsia" w:ascii="仿宋_GB2312" w:hAnsi="仿宋_GB2312" w:eastAsia="仿宋_GB2312" w:cs="仿宋_GB2312"/>
          <w:sz w:val="32"/>
          <w:szCs w:val="32"/>
          <w:highlight w:val="none"/>
        </w:rPr>
        <w:t>交易成交</w:t>
      </w:r>
      <w:r>
        <w:rPr>
          <w:rFonts w:hint="eastAsia" w:ascii="仿宋_GB2312" w:hAnsi="仿宋_GB2312" w:eastAsia="仿宋_GB2312" w:cs="仿宋_GB2312"/>
          <w:sz w:val="32"/>
          <w:szCs w:val="32"/>
          <w:highlight w:val="none"/>
          <w:lang w:val="en-US" w:eastAsia="zh-CN"/>
        </w:rPr>
        <w:t>确认</w:t>
      </w:r>
      <w:r>
        <w:rPr>
          <w:rFonts w:hint="eastAsia" w:ascii="仿宋_GB2312" w:hAnsi="仿宋_GB2312" w:eastAsia="仿宋_GB2312" w:cs="仿宋_GB2312"/>
          <w:sz w:val="32"/>
          <w:szCs w:val="32"/>
          <w:highlight w:val="none"/>
        </w:rPr>
        <w:t>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（以下简称“成交</w:t>
      </w:r>
      <w:r>
        <w:rPr>
          <w:rFonts w:hint="eastAsia" w:ascii="仿宋_GB2312" w:hAnsi="仿宋_GB2312" w:eastAsia="仿宋_GB2312" w:cs="仿宋_GB2312"/>
          <w:sz w:val="32"/>
          <w:szCs w:val="32"/>
          <w:highlight w:val="none"/>
          <w:lang w:val="en-US" w:eastAsia="zh-CN"/>
        </w:rPr>
        <w:t>确认</w:t>
      </w:r>
      <w:r>
        <w:rPr>
          <w:rFonts w:hint="eastAsia" w:ascii="仿宋_GB2312" w:hAnsi="仿宋_GB2312" w:eastAsia="仿宋_GB2312" w:cs="仿宋_GB2312"/>
          <w:sz w:val="32"/>
          <w:szCs w:val="32"/>
          <w:highlight w:val="none"/>
        </w:rPr>
        <w:t>书”）样本；</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《国有建设用地使用权出让合同》（以下简称“出让合同”）样本；</w:t>
      </w:r>
    </w:p>
    <w:p>
      <w:pPr>
        <w:pStyle w:val="2"/>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 xml:space="preserve"> 8、</w:t>
      </w:r>
      <w:r>
        <w:rPr>
          <w:rFonts w:hint="eastAsia" w:ascii="仿宋_GB2312" w:hAnsi="仿宋_GB2312" w:eastAsia="仿宋_GB2312" w:cs="仿宋_GB2312"/>
          <w:kern w:val="2"/>
          <w:sz w:val="32"/>
          <w:szCs w:val="32"/>
          <w:highlight w:val="none"/>
          <w:lang w:val="en-US" w:eastAsia="zh-CN" w:bidi="ar-SA"/>
        </w:rPr>
        <w:t>《项目实施监管协议书》</w:t>
      </w:r>
    </w:p>
    <w:p>
      <w:pPr>
        <w:tabs>
          <w:tab w:val="left" w:pos="3388"/>
        </w:tabs>
        <w:spacing w:line="560" w:lineRule="exact"/>
        <w:ind w:left="0" w:leftChars="0" w:firstLine="640" w:firstLineChars="200"/>
        <w:jc w:val="left"/>
        <w:rPr>
          <w:highlight w:val="none"/>
        </w:rPr>
      </w:pPr>
      <w:r>
        <w:rPr>
          <w:rFonts w:hint="eastAsia" w:ascii="仿宋_GB2312" w:hAnsi="仿宋_GB2312" w:eastAsia="仿宋_GB2312" w:cs="仿宋_GB2312"/>
          <w:sz w:val="32"/>
          <w:szCs w:val="32"/>
          <w:highlight w:val="none"/>
          <w:lang w:val="en-US" w:eastAsia="zh-CN"/>
        </w:rPr>
        <w:t>9、其他相关文件</w:t>
      </w:r>
      <w:r>
        <w:rPr>
          <w:rFonts w:hint="eastAsia" w:ascii="仿宋_GB2312" w:hAnsi="仿宋_GB2312" w:eastAsia="仿宋_GB2312" w:cs="仿宋_GB2312"/>
          <w:sz w:val="32"/>
          <w:szCs w:val="32"/>
          <w:highlight w:val="none"/>
        </w:rPr>
        <w:t>。</w:t>
      </w:r>
    </w:p>
    <w:p>
      <w:pP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十、办理数字证书</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十一、答疑及现场踏勘</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highlight w:val="none"/>
        </w:rPr>
      </w:pPr>
      <w:bookmarkStart w:id="4" w:name="103"/>
      <w:bookmarkEnd w:id="4"/>
      <w:r>
        <w:rPr>
          <w:rFonts w:hint="eastAsia" w:ascii="仿宋_GB2312" w:hAnsi="仿宋_GB2312" w:eastAsia="仿宋_GB2312" w:cs="仿宋_GB2312"/>
          <w:b/>
          <w:bCs/>
          <w:sz w:val="32"/>
          <w:szCs w:val="32"/>
          <w:highlight w:val="none"/>
        </w:rPr>
        <w:t xml:space="preserve"> 十二、竞买保证金</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（一）竞买保证金是申请人参加网上挂牌交易活动的资格条件。按规定将竞买保证金汇入指定账户，是参加网上挂牌交易活动的必经程序。</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（二）本宗地竞买保证金到账截止时间为</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highlight w:val="none"/>
        </w:rPr>
        <w:t>9时整，竞买保证金为人民币</w:t>
      </w:r>
      <w:r>
        <w:rPr>
          <w:rFonts w:hint="eastAsia" w:ascii="仿宋_GB2312" w:hAnsi="仿宋_GB2312" w:eastAsia="仿宋_GB2312" w:cs="仿宋_GB2312"/>
          <w:color w:val="auto"/>
          <w:sz w:val="32"/>
          <w:szCs w:val="32"/>
          <w:highlight w:val="none"/>
          <w:u w:val="single"/>
          <w:lang w:val="en-US" w:eastAsia="zh-CN"/>
        </w:rPr>
        <w:t>贰仟零壹拾万</w:t>
      </w:r>
      <w:r>
        <w:rPr>
          <w:rFonts w:hint="eastAsia" w:ascii="仿宋_GB2312" w:hAnsi="仿宋_GB2312" w:eastAsia="仿宋_GB2312" w:cs="仿宋_GB2312"/>
          <w:color w:val="auto"/>
          <w:sz w:val="32"/>
          <w:szCs w:val="32"/>
          <w:highlight w:val="none"/>
          <w:u w:val="single"/>
        </w:rPr>
        <w:t>元整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2010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sz w:val="32"/>
          <w:szCs w:val="32"/>
          <w:highlight w:val="none"/>
        </w:rPr>
        <w:t>。</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（四）跨地区或跨行转账的竞买人，需预足资金的在途时间，以免影响竞买人及时取得竞买资格。</w:t>
      </w:r>
    </w:p>
    <w:p>
      <w:pPr>
        <w:tabs>
          <w:tab w:val="left" w:pos="3388"/>
        </w:tabs>
        <w:spacing w:line="560" w:lineRule="exact"/>
        <w:ind w:firstLine="64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（五）竞买保证金到账时间以网上挂牌交易系统颁发《保证金到账通知书》为准。</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（六）竞买保证金开户单位：惠州市公共资源交易中心</w:t>
      </w:r>
    </w:p>
    <w:p>
      <w:pPr>
        <w:tabs>
          <w:tab w:val="left" w:pos="3388"/>
        </w:tabs>
        <w:spacing w:line="560" w:lineRule="exact"/>
        <w:ind w:firstLine="640" w:firstLineChars="200"/>
        <w:jc w:val="left"/>
        <w:rPr>
          <w:highlight w:val="none"/>
        </w:rPr>
      </w:pPr>
      <w:r>
        <w:rPr>
          <w:rFonts w:hint="eastAsia" w:ascii="仿宋_GB2312" w:hAnsi="仿宋_GB2312" w:eastAsia="仿宋_GB2312" w:cs="仿宋_GB2312"/>
          <w:sz w:val="32"/>
          <w:szCs w:val="32"/>
          <w:highlight w:val="none"/>
        </w:rPr>
        <w:t>竞买保证金账号：网上挂牌交易系统随机产生子账号。</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开户银行：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中国建设银行惠州广场支行。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中国银行惠州分行。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中国工商银行股份有限公司惠州富力国际中心支行 。</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中国农业银行惠州分行。</w:t>
      </w:r>
    </w:p>
    <w:p>
      <w:pPr>
        <w:tabs>
          <w:tab w:val="left" w:pos="3388"/>
        </w:tabs>
        <w:spacing w:line="560" w:lineRule="exact"/>
        <w:ind w:firstLine="640" w:firstLineChars="200"/>
        <w:jc w:val="left"/>
        <w:rPr>
          <w:rFonts w:hint="eastAsia"/>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广发银行惠州江北支行。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交通银行惠州分行。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惠州市农村商业银行股份有限公司惠城支行。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上海浦东发展银行股份有限公司惠州分行 。</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中国民生银行股份有限公司惠州分行。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10、中国光大银行股份有限公司惠州分行。</w:t>
      </w:r>
    </w:p>
    <w:p>
      <w:pPr>
        <w:tabs>
          <w:tab w:val="left" w:pos="3388"/>
        </w:tabs>
        <w:spacing w:line="560" w:lineRule="exact"/>
        <w:ind w:firstLine="640" w:firstLineChars="200"/>
        <w:jc w:val="left"/>
        <w:rPr>
          <w:rFonts w:hint="eastAsia"/>
          <w:highlight w:val="none"/>
          <w:lang w:val="en-US" w:eastAsia="zh-CN"/>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中信银行股份有限公司惠州分行。(备注:中信银行股份有限公司惠州分行本行</w:t>
      </w:r>
      <w:r>
        <w:rPr>
          <w:rFonts w:hint="eastAsia" w:ascii="仿宋_GB2312" w:hAnsi="仿宋_GB2312" w:eastAsia="仿宋_GB2312" w:cs="仿宋_GB2312"/>
          <w:sz w:val="32"/>
          <w:szCs w:val="32"/>
          <w:highlight w:val="none"/>
          <w:lang w:val="en-US" w:eastAsia="zh-CN"/>
        </w:rPr>
        <w:t>转账</w:t>
      </w:r>
      <w:r>
        <w:rPr>
          <w:rFonts w:hint="eastAsia" w:ascii="仿宋_GB2312" w:hAnsi="仿宋_GB2312" w:eastAsia="仿宋_GB2312" w:cs="仿宋_GB2312"/>
          <w:sz w:val="32"/>
          <w:szCs w:val="32"/>
          <w:highlight w:val="none"/>
        </w:rPr>
        <w:t>须到银行柜面办理)。</w:t>
      </w:r>
    </w:p>
    <w:p>
      <w:pPr>
        <w:tabs>
          <w:tab w:val="left" w:pos="3388"/>
        </w:tabs>
        <w:spacing w:line="560" w:lineRule="exact"/>
        <w:jc w:val="left"/>
        <w:rPr>
          <w:rFonts w:ascii="仿宋_GB2312" w:hAnsi="仿宋_GB2312" w:eastAsia="仿宋_GB2312" w:cs="仿宋_GB2312"/>
          <w:b/>
          <w:bCs/>
          <w:sz w:val="32"/>
          <w:szCs w:val="32"/>
          <w:highlight w:val="none"/>
        </w:rPr>
      </w:pPr>
      <w:bookmarkStart w:id="5" w:name="107"/>
      <w:r>
        <w:rPr>
          <w:rFonts w:hint="eastAsia" w:ascii="仿宋_GB2312" w:hAnsi="仿宋_GB2312" w:eastAsia="仿宋_GB2312" w:cs="仿宋_GB2312"/>
          <w:b/>
          <w:bCs/>
          <w:sz w:val="32"/>
          <w:szCs w:val="32"/>
          <w:highlight w:val="none"/>
        </w:rPr>
        <w:t>十三、</w:t>
      </w:r>
      <w:bookmarkEnd w:id="5"/>
      <w:r>
        <w:rPr>
          <w:rFonts w:hint="eastAsia" w:ascii="仿宋_GB2312" w:hAnsi="仿宋_GB2312" w:eastAsia="仿宋_GB2312" w:cs="仿宋_GB2312"/>
          <w:b/>
          <w:bCs/>
          <w:sz w:val="32"/>
          <w:szCs w:val="32"/>
          <w:highlight w:val="none"/>
        </w:rPr>
        <w:t>网上报价规则</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3、报价不符合报价规则的。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4、报价低于网上挂牌起始价的。</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十四、系统操作</w:t>
      </w:r>
    </w:p>
    <w:p>
      <w:pPr>
        <w:tabs>
          <w:tab w:val="left" w:pos="3388"/>
        </w:tabs>
        <w:spacing w:line="560" w:lineRule="exact"/>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土地与矿业交易系统竞买人操作视频</w:t>
      </w:r>
      <w:r>
        <w:rPr>
          <w:rFonts w:hint="eastAsia" w:ascii="仿宋_GB2312" w:hAnsi="仿宋_GB2312" w:eastAsia="仿宋_GB2312" w:cs="仿宋_GB2312"/>
          <w:sz w:val="32"/>
          <w:szCs w:val="32"/>
          <w:highlight w:val="none"/>
          <w:lang w:val="en-US" w:eastAsia="zh-CN"/>
        </w:rPr>
        <w:t>可在</w:t>
      </w:r>
      <w:r>
        <w:rPr>
          <w:rFonts w:hint="eastAsia" w:ascii="仿宋_GB2312" w:hAnsi="仿宋_GB2312" w:eastAsia="仿宋_GB2312" w:cs="仿宋_GB2312"/>
          <w:sz w:val="32"/>
          <w:szCs w:val="32"/>
          <w:highlight w:val="none"/>
        </w:rPr>
        <w:t>本中心网上挂牌交易系</w:t>
      </w:r>
      <w:r>
        <w:rPr>
          <w:rFonts w:hint="eastAsia" w:ascii="仿宋_GB2312" w:hAnsi="仿宋_GB2312" w:eastAsia="仿宋_GB2312" w:cs="仿宋_GB2312"/>
          <w:sz w:val="32"/>
          <w:szCs w:val="32"/>
          <w:highlight w:val="none"/>
          <w:lang w:val="en-US" w:eastAsia="zh-CN"/>
        </w:rPr>
        <w:t>统</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下载。</w:t>
      </w:r>
      <w:bookmarkStart w:id="6" w:name="106"/>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十五、</w:t>
      </w:r>
      <w:bookmarkEnd w:id="6"/>
      <w:r>
        <w:rPr>
          <w:rFonts w:hint="eastAsia" w:ascii="仿宋_GB2312" w:hAnsi="仿宋_GB2312" w:eastAsia="仿宋_GB2312" w:cs="仿宋_GB2312"/>
          <w:b/>
          <w:bCs/>
          <w:sz w:val="32"/>
          <w:szCs w:val="32"/>
          <w:highlight w:val="none"/>
        </w:rPr>
        <w:t>网上挂牌程序</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我中心将有关宗地的位置、面积、用途、使用年期、规划要求、起始价、增价规则及增价幅度等予以公布。有意竞买者可登陆惠州市公共资源交易中心土地与矿业网上挂牌交易系统网站(</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)查询。</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（三）交纳保证金</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（四）网上挂牌报价</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（五）网上挂牌截止</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2、网上挂牌交易</w:t>
      </w:r>
      <w:r>
        <w:rPr>
          <w:rFonts w:hint="eastAsia" w:ascii="仿宋_GB2312" w:hAnsi="仿宋_GB2312" w:eastAsia="仿宋_GB2312" w:cs="仿宋_GB2312"/>
          <w:sz w:val="32"/>
          <w:szCs w:val="32"/>
          <w:highlight w:val="none"/>
          <w:lang w:val="en-US" w:eastAsia="zh-CN"/>
        </w:rPr>
        <w:t>期限截止时，无人报价的，挂牌不成交</w:t>
      </w:r>
      <w:r>
        <w:rPr>
          <w:rFonts w:hint="eastAsia" w:ascii="仿宋_GB2312" w:hAnsi="仿宋_GB2312" w:eastAsia="仿宋_GB2312" w:cs="仿宋_GB2312"/>
          <w:sz w:val="32"/>
          <w:szCs w:val="32"/>
          <w:highlight w:val="none"/>
        </w:rPr>
        <w:t>。</w:t>
      </w:r>
    </w:p>
    <w:p>
      <w:pPr>
        <w:tabs>
          <w:tab w:val="left" w:pos="3388"/>
        </w:tabs>
        <w:spacing w:line="560" w:lineRule="exact"/>
        <w:ind w:firstLine="640"/>
        <w:jc w:val="left"/>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3、网上挂牌交易</w:t>
      </w:r>
      <w:r>
        <w:rPr>
          <w:rFonts w:hint="eastAsia" w:ascii="仿宋_GB2312" w:hAnsi="仿宋_GB2312" w:eastAsia="仿宋_GB2312" w:cs="仿宋_GB2312"/>
          <w:sz w:val="32"/>
          <w:szCs w:val="32"/>
          <w:highlight w:val="none"/>
          <w:lang w:val="en-US" w:eastAsia="zh-CN"/>
        </w:rPr>
        <w:t>期限截止时，只有1个竞买人报价，且报价不低于起始价的，挂牌成交，该报价者为竞得人。</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hint="eastAsia" w:eastAsia="仿宋_GB2312"/>
          <w:highlight w:val="none"/>
          <w:lang w:val="en-US" w:eastAsia="zh-CN"/>
        </w:rPr>
      </w:pPr>
      <w:r>
        <w:rPr>
          <w:rFonts w:hint="eastAsia" w:ascii="仿宋_GB2312" w:hAnsi="仿宋_GB2312" w:eastAsia="仿宋_GB2312" w:cs="仿宋_GB2312"/>
          <w:sz w:val="32"/>
          <w:szCs w:val="32"/>
          <w:highlight w:val="none"/>
        </w:rPr>
        <w:t xml:space="preserve">     网上限时竞价中无人报价的，以网上挂牌截止时出价最高</w:t>
      </w:r>
      <w:r>
        <w:rPr>
          <w:rFonts w:hint="eastAsia" w:ascii="仿宋_GB2312" w:hAnsi="仿宋_GB2312" w:eastAsia="仿宋_GB2312" w:cs="仿宋_GB2312"/>
          <w:sz w:val="32"/>
          <w:szCs w:val="32"/>
          <w:highlight w:val="none"/>
          <w:lang w:val="en-US" w:eastAsia="zh-CN"/>
        </w:rPr>
        <w:t>且报价不低于起始价者</w:t>
      </w:r>
      <w:r>
        <w:rPr>
          <w:rFonts w:hint="eastAsia" w:ascii="仿宋_GB2312" w:hAnsi="仿宋_GB2312" w:eastAsia="仿宋_GB2312" w:cs="仿宋_GB2312"/>
          <w:sz w:val="32"/>
          <w:szCs w:val="32"/>
          <w:highlight w:val="none"/>
        </w:rPr>
        <w:t>为竞得人。</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经网上挂牌交易系统询问完毕后，没有竞买人表示愿意继续竞价的，</w:t>
      </w:r>
      <w:r>
        <w:rPr>
          <w:rFonts w:hint="eastAsia" w:ascii="仿宋_GB2312" w:hAnsi="仿宋_GB2312" w:eastAsia="仿宋_GB2312" w:cs="仿宋_GB2312"/>
          <w:sz w:val="32"/>
          <w:szCs w:val="32"/>
          <w:highlight w:val="none"/>
          <w:lang w:val="en-US" w:eastAsia="zh-CN"/>
        </w:rPr>
        <w:t>以</w:t>
      </w:r>
      <w:r>
        <w:rPr>
          <w:rFonts w:hint="eastAsia" w:ascii="仿宋_GB2312" w:hAnsi="仿宋_GB2312" w:eastAsia="仿宋_GB2312" w:cs="仿宋_GB2312"/>
          <w:sz w:val="32"/>
          <w:szCs w:val="32"/>
          <w:highlight w:val="none"/>
        </w:rPr>
        <w:t>网上挂牌交易</w:t>
      </w:r>
      <w:r>
        <w:rPr>
          <w:rFonts w:hint="eastAsia" w:ascii="仿宋_GB2312" w:hAnsi="仿宋_GB2312" w:eastAsia="仿宋_GB2312" w:cs="仿宋_GB2312"/>
          <w:sz w:val="32"/>
          <w:szCs w:val="32"/>
          <w:highlight w:val="none"/>
          <w:lang w:val="en-US" w:eastAsia="zh-CN"/>
        </w:rPr>
        <w:t>截止时报价最高且报价不低于起始价者为竞得人。</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竞买</w:t>
      </w:r>
      <w:r>
        <w:rPr>
          <w:rFonts w:hint="eastAsia" w:ascii="仿宋_GB2312" w:hAnsi="仿宋_GB2312" w:eastAsia="仿宋_GB2312" w:cs="仿宋_GB2312"/>
          <w:sz w:val="32"/>
          <w:szCs w:val="32"/>
          <w:highlight w:val="none"/>
        </w:rPr>
        <w:t>资格审查和签订《成交确认书》</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《竞买保证金到账通知书》并盖章。</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2、竞得人应当在网上挂牌交易结果公布</w:t>
      </w:r>
      <w:r>
        <w:rPr>
          <w:rFonts w:hint="eastAsia" w:ascii="仿宋_GB2312" w:hAnsi="仿宋_GB2312" w:eastAsia="仿宋_GB2312" w:cs="仿宋_GB2312"/>
          <w:sz w:val="32"/>
          <w:szCs w:val="32"/>
          <w:highlight w:val="none"/>
          <w:lang w:val="en-US" w:eastAsia="zh-CN"/>
        </w:rPr>
        <w:t>之日起5</w:t>
      </w:r>
      <w:r>
        <w:rPr>
          <w:rFonts w:hint="eastAsia" w:ascii="仿宋_GB2312" w:hAnsi="仿宋_GB2312" w:eastAsia="仿宋_GB2312" w:cs="仿宋_GB2312"/>
          <w:sz w:val="32"/>
          <w:szCs w:val="32"/>
          <w:highlight w:val="none"/>
        </w:rPr>
        <w:t>个工作日内持公司公章及下列有关纸质材料到本中心进行</w:t>
      </w:r>
      <w:r>
        <w:rPr>
          <w:rFonts w:hint="eastAsia" w:ascii="仿宋_GB2312" w:hAnsi="仿宋_GB2312" w:eastAsia="仿宋_GB2312" w:cs="仿宋_GB2312"/>
          <w:sz w:val="32"/>
          <w:szCs w:val="32"/>
          <w:highlight w:val="none"/>
          <w:lang w:val="en-US" w:eastAsia="zh-CN"/>
        </w:rPr>
        <w:t>竞买</w:t>
      </w:r>
      <w:r>
        <w:rPr>
          <w:rFonts w:hint="eastAsia" w:ascii="仿宋_GB2312" w:hAnsi="仿宋_GB2312" w:eastAsia="仿宋_GB2312" w:cs="仿宋_GB2312"/>
          <w:sz w:val="32"/>
          <w:szCs w:val="32"/>
          <w:highlight w:val="none"/>
        </w:rPr>
        <w:t>资格审查：</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（1）《竞买申请书》（加盖公章）。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（2）《竞价结果通知书》（加盖公章）。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（3）《竞买保证金到账通知书》（加盖公章）。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转账</w:t>
      </w:r>
      <w:r>
        <w:rPr>
          <w:rFonts w:hint="eastAsia" w:ascii="仿宋_GB2312" w:hAnsi="仿宋_GB2312" w:eastAsia="仿宋_GB2312" w:cs="仿宋_GB2312"/>
          <w:sz w:val="32"/>
          <w:szCs w:val="32"/>
          <w:highlight w:val="none"/>
        </w:rPr>
        <w:t>凭证复印件（加盖公章）</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（5）申请竞买人有效的《营业执照》复印件（加盖公章）（二份）。</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（6）法定代表人身份证复印件（加盖公章）（二份</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）授权他人代理的授权委托书及代理人身份证复印件（核对原件）。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项目实施监管协议书</w:t>
      </w:r>
      <w:r>
        <w:rPr>
          <w:rFonts w:hint="eastAsia" w:ascii="仿宋_GB2312" w:hAnsi="宋体" w:eastAsia="仿宋_GB2312" w:cs="宋体"/>
          <w:color w:val="auto"/>
          <w:kern w:val="0"/>
          <w:sz w:val="32"/>
          <w:szCs w:val="32"/>
          <w:highlight w:val="none"/>
        </w:rPr>
        <w:t>》。</w:t>
      </w:r>
    </w:p>
    <w:p>
      <w:pP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w:t>
      </w:r>
      <w:r>
        <w:rPr>
          <w:rFonts w:hint="eastAsia" w:ascii="仿宋_GB2312" w:hAnsi="宋体" w:eastAsia="仿宋_GB2312" w:cs="宋体"/>
          <w:color w:val="auto"/>
          <w:kern w:val="0"/>
          <w:sz w:val="32"/>
          <w:szCs w:val="32"/>
          <w:highlight w:val="none"/>
        </w:rPr>
        <w:t>竞买人须提交惠城区发改局出具的与该宗地块规划确定的产业类型一致的优先发展产业项目文件。</w:t>
      </w:r>
    </w:p>
    <w:p>
      <w:pPr>
        <w:pStyle w:val="2"/>
        <w:ind w:left="0" w:leftChars="0" w:firstLine="640" w:firstLineChars="200"/>
        <w:rPr>
          <w:rFonts w:hint="eastAsia"/>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）联合竞买协议（联合竞买的提供）。</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（11）竞买</w:t>
      </w:r>
      <w:r>
        <w:rPr>
          <w:rFonts w:hint="eastAsia" w:ascii="仿宋_GB2312" w:hAnsi="仿宋_GB2312" w:eastAsia="仿宋_GB2312" w:cs="仿宋_GB2312"/>
          <w:sz w:val="32"/>
          <w:szCs w:val="32"/>
          <w:highlight w:val="none"/>
        </w:rPr>
        <w:t>人及其控股股东</w:t>
      </w:r>
      <w:r>
        <w:rPr>
          <w:rFonts w:hint="eastAsia" w:ascii="仿宋_GB2312" w:hAnsi="仿宋_GB2312" w:eastAsia="仿宋_GB2312" w:cs="仿宋_GB2312"/>
          <w:sz w:val="32"/>
          <w:szCs w:val="32"/>
          <w:highlight w:val="none"/>
          <w:lang w:val="en-US" w:eastAsia="zh-CN"/>
        </w:rPr>
        <w:t>不</w:t>
      </w:r>
      <w:r>
        <w:rPr>
          <w:rFonts w:hint="eastAsia" w:ascii="仿宋_GB2312" w:hAnsi="仿宋_GB2312" w:eastAsia="仿宋_GB2312" w:cs="仿宋_GB2312"/>
          <w:sz w:val="32"/>
          <w:szCs w:val="32"/>
          <w:highlight w:val="none"/>
        </w:rPr>
        <w:t>存在违法、违规、违约行为的</w:t>
      </w:r>
      <w:r>
        <w:rPr>
          <w:rFonts w:hint="eastAsia" w:ascii="仿宋_GB2312" w:hAnsi="仿宋_GB2312" w:eastAsia="仿宋_GB2312" w:cs="仿宋_GB2312"/>
          <w:sz w:val="32"/>
          <w:szCs w:val="32"/>
          <w:highlight w:val="none"/>
          <w:lang w:val="en-US" w:eastAsia="zh-CN"/>
        </w:rPr>
        <w:t>承诺书</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上述第（</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上述文件中，申请书必须用中文书写，其他文件可以使用其它语言，但必须附中文译本，所有文件的解释以中文译本为准。</w:t>
      </w:r>
    </w:p>
    <w:p>
      <w:pPr>
        <w:pStyle w:val="2"/>
        <w:ind w:left="0" w:leftChars="0" w:firstLine="640" w:firstLineChars="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3、经审查，符合</w:t>
      </w:r>
      <w:r>
        <w:rPr>
          <w:rFonts w:hint="eastAsia" w:ascii="仿宋_GB2312" w:hAnsi="仿宋_GB2312" w:eastAsia="仿宋_GB2312" w:cs="仿宋_GB2312"/>
          <w:sz w:val="32"/>
          <w:szCs w:val="32"/>
          <w:highlight w:val="none"/>
          <w:lang w:val="en-US" w:eastAsia="zh-CN"/>
        </w:rPr>
        <w:t>竞买</w:t>
      </w:r>
      <w:r>
        <w:rPr>
          <w:rFonts w:hint="eastAsia" w:ascii="仿宋_GB2312" w:hAnsi="仿宋_GB2312" w:eastAsia="仿宋_GB2312" w:cs="仿宋_GB2312"/>
          <w:b w:val="0"/>
          <w:bCs w:val="0"/>
          <w:sz w:val="32"/>
          <w:szCs w:val="32"/>
          <w:highlight w:val="none"/>
          <w:lang w:val="en-US" w:eastAsia="zh-CN"/>
        </w:rPr>
        <w:t>资格的，竞得人应当按挂牌文件的约定时间与本中心及出让人签订《成交确认书》；经审查，不符合竞买资格的，按本须知第六条处理。</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）网上挂牌出让结果公示</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highlight w:val="none"/>
        </w:rPr>
      </w:pPr>
      <w:bookmarkStart w:id="7" w:name="108"/>
      <w:r>
        <w:rPr>
          <w:rFonts w:hint="eastAsia" w:ascii="仿宋_GB2312" w:hAnsi="仿宋_GB2312" w:eastAsia="仿宋_GB2312" w:cs="仿宋_GB2312"/>
          <w:b/>
          <w:bCs/>
          <w:sz w:val="32"/>
          <w:szCs w:val="32"/>
          <w:highlight w:val="none"/>
        </w:rPr>
        <w:t>十六、</w:t>
      </w:r>
      <w:bookmarkEnd w:id="7"/>
      <w:r>
        <w:rPr>
          <w:rFonts w:hint="eastAsia" w:ascii="仿宋_GB2312" w:hAnsi="仿宋_GB2312" w:eastAsia="仿宋_GB2312" w:cs="仿宋_GB2312"/>
          <w:b/>
          <w:bCs/>
          <w:sz w:val="32"/>
          <w:szCs w:val="32"/>
          <w:highlight w:val="none"/>
        </w:rPr>
        <w:t>注意事项</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）确定竞得人后，竞得人持《</w:t>
      </w:r>
      <w:r>
        <w:rPr>
          <w:rFonts w:hint="eastAsia" w:ascii="仿宋_GB2312" w:hAnsi="仿宋_GB2312" w:eastAsia="仿宋_GB2312" w:cs="仿宋_GB2312"/>
          <w:sz w:val="32"/>
          <w:szCs w:val="32"/>
          <w:highlight w:val="none"/>
          <w:lang w:val="en-US" w:eastAsia="zh-CN"/>
        </w:rPr>
        <w:t>竞价结果</w:t>
      </w:r>
      <w:r>
        <w:rPr>
          <w:rFonts w:hint="eastAsia" w:ascii="仿宋_GB2312" w:hAnsi="仿宋_GB2312" w:eastAsia="仿宋_GB2312" w:cs="仿宋_GB2312"/>
          <w:sz w:val="32"/>
          <w:szCs w:val="32"/>
          <w:highlight w:val="none"/>
        </w:rPr>
        <w:t>通知书》以及参加本宗地网上挂牌交易的所须资料到惠州市公共资源交易中心土地矿业交易部申办相关成交确认手续。</w:t>
      </w:r>
    </w:p>
    <w:p>
      <w:pPr>
        <w:tabs>
          <w:tab w:val="left" w:pos="3388"/>
        </w:tabs>
        <w:spacing w:line="560" w:lineRule="exact"/>
        <w:jc w:val="left"/>
        <w:rPr>
          <w:rFonts w:hint="eastAsia"/>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竞价结果</w:t>
      </w:r>
      <w:r>
        <w:rPr>
          <w:rFonts w:hint="eastAsia" w:ascii="仿宋_GB2312" w:hAnsi="仿宋_GB2312" w:eastAsia="仿宋_GB2312" w:cs="仿宋_GB2312"/>
          <w:sz w:val="32"/>
          <w:szCs w:val="32"/>
          <w:highlight w:val="none"/>
        </w:rPr>
        <w:t>通知书》对挂牌人和竞得人具有法律效力，挂牌人改变网上挂牌结果的，或者竞得人放弃竞得宗地的，应当承担相应法律责任。</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网上挂牌系统确定成交后，竞得人缴纳的竞买保证金按</w:t>
      </w:r>
      <w:r>
        <w:rPr>
          <w:rFonts w:hint="eastAsia" w:ascii="仿宋_GB2312" w:hAnsi="仿宋_GB2312" w:eastAsia="仿宋_GB2312" w:cs="仿宋_GB2312"/>
          <w:sz w:val="32"/>
          <w:szCs w:val="32"/>
          <w:highlight w:val="none"/>
          <w:lang w:val="en-US" w:eastAsia="zh-CN"/>
        </w:rPr>
        <w:t>成交价的</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sz w:val="32"/>
          <w:szCs w:val="32"/>
          <w:highlight w:val="none"/>
          <w:lang w:val="en-US" w:eastAsia="zh-CN"/>
        </w:rPr>
        <w:t>转作</w:t>
      </w:r>
      <w:r>
        <w:rPr>
          <w:rFonts w:hint="eastAsia" w:ascii="仿宋_GB2312" w:hAnsi="仿宋_GB2312" w:eastAsia="仿宋_GB2312" w:cs="仿宋_GB2312"/>
          <w:sz w:val="32"/>
          <w:szCs w:val="32"/>
          <w:highlight w:val="none"/>
        </w:rPr>
        <w:t>定金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highlight w:val="none"/>
          <w:lang w:eastAsia="zh-CN"/>
        </w:rPr>
        <w:t>竞买保证金</w:t>
      </w:r>
      <w:r>
        <w:rPr>
          <w:rFonts w:hint="eastAsia" w:ascii="仿宋_GB2312" w:hAnsi="仿宋_GB2312" w:eastAsia="仿宋_GB2312" w:cs="仿宋_GB2312"/>
          <w:sz w:val="32"/>
          <w:szCs w:val="32"/>
          <w:highlight w:val="none"/>
          <w:lang w:val="en-US" w:eastAsia="zh-CN"/>
        </w:rPr>
        <w:t>不足以缴纳定金，</w:t>
      </w:r>
      <w:r>
        <w:rPr>
          <w:rFonts w:hint="eastAsia" w:ascii="仿宋_GB2312" w:hAnsi="仿宋_GB2312" w:eastAsia="仿宋_GB2312" w:cs="仿宋_GB2312"/>
          <w:sz w:val="32"/>
          <w:szCs w:val="32"/>
          <w:highlight w:val="none"/>
        </w:rPr>
        <w:t>不足部分在交易系统确定成交之日起5个工作日内补齐</w:t>
      </w:r>
      <w:r>
        <w:rPr>
          <w:rFonts w:hint="eastAsia" w:ascii="仿宋_GB2312" w:hAnsi="仿宋_GB2312" w:eastAsia="仿宋_GB2312" w:cs="仿宋_GB2312"/>
          <w:sz w:val="32"/>
          <w:szCs w:val="32"/>
          <w:highlight w:val="none"/>
          <w:lang w:eastAsia="zh-CN"/>
        </w:rPr>
        <w:t>；如竞买保证金转作定金</w:t>
      </w:r>
      <w:r>
        <w:rPr>
          <w:rFonts w:hint="eastAsia" w:ascii="仿宋_GB2312" w:hAnsi="仿宋_GB2312" w:eastAsia="仿宋_GB2312" w:cs="仿宋_GB2312"/>
          <w:sz w:val="32"/>
          <w:szCs w:val="32"/>
          <w:highlight w:val="none"/>
          <w:lang w:val="en-US" w:eastAsia="zh-CN"/>
        </w:rPr>
        <w:t>后有剩余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余额抵作</w:t>
      </w:r>
      <w:r>
        <w:rPr>
          <w:rFonts w:hint="eastAsia" w:ascii="仿宋_GB2312" w:hAnsi="仿宋_GB2312" w:eastAsia="仿宋_GB2312" w:cs="仿宋_GB2312"/>
          <w:sz w:val="32"/>
          <w:szCs w:val="32"/>
          <w:highlight w:val="none"/>
          <w:lang w:val="en-US" w:eastAsia="zh-CN"/>
        </w:rPr>
        <w:t>土地</w:t>
      </w:r>
      <w:r>
        <w:rPr>
          <w:rFonts w:hint="eastAsia" w:ascii="仿宋_GB2312" w:hAnsi="仿宋_GB2312" w:eastAsia="仿宋_GB2312" w:cs="仿宋_GB2312"/>
          <w:sz w:val="32"/>
          <w:szCs w:val="32"/>
          <w:highlight w:val="none"/>
        </w:rPr>
        <w:t>成交价</w:t>
      </w:r>
      <w:r>
        <w:rPr>
          <w:rFonts w:hint="eastAsia" w:ascii="仿宋_GB2312" w:hAnsi="仿宋_GB2312" w:eastAsia="仿宋_GB2312" w:cs="仿宋_GB2312"/>
          <w:sz w:val="32"/>
          <w:szCs w:val="32"/>
          <w:highlight w:val="none"/>
          <w:lang w:val="en-US" w:eastAsia="zh-CN"/>
        </w:rPr>
        <w:t>的预付</w:t>
      </w:r>
      <w:r>
        <w:rPr>
          <w:rFonts w:hint="eastAsia" w:ascii="仿宋_GB2312" w:hAnsi="仿宋_GB2312" w:eastAsia="仿宋_GB2312" w:cs="仿宋_GB2312"/>
          <w:sz w:val="32"/>
          <w:szCs w:val="32"/>
          <w:highlight w:val="none"/>
        </w:rPr>
        <w:t>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竞得人签订《出让合同》后，定金可抵作土地成交价款，余额转作成交价款。</w:t>
      </w:r>
    </w:p>
    <w:p>
      <w:pPr>
        <w:tabs>
          <w:tab w:val="left" w:pos="3388"/>
        </w:tabs>
        <w:spacing w:line="560" w:lineRule="exact"/>
        <w:ind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未竞得人缴纳的竞买保证金将于电子挂牌交易活动结束</w:t>
      </w:r>
      <w:r>
        <w:rPr>
          <w:rFonts w:hint="eastAsia" w:ascii="仿宋_GB2312" w:hAnsi="仿宋_GB2312" w:eastAsia="仿宋_GB2312" w:cs="仿宋_GB2312"/>
          <w:sz w:val="32"/>
          <w:szCs w:val="32"/>
          <w:highlight w:val="none"/>
          <w:lang w:val="en-US" w:eastAsia="zh-CN"/>
        </w:rPr>
        <w:t>之日起</w:t>
      </w:r>
      <w:r>
        <w:rPr>
          <w:rFonts w:hint="eastAsia" w:ascii="仿宋_GB2312" w:hAnsi="仿宋_GB2312" w:eastAsia="仿宋_GB2312" w:cs="仿宋_GB2312"/>
          <w:sz w:val="32"/>
          <w:szCs w:val="32"/>
          <w:highlight w:val="none"/>
        </w:rPr>
        <w:t>5个工作日内带齐相关资料（</w:t>
      </w:r>
      <w:r>
        <w:rPr>
          <w:rFonts w:hint="eastAsia" w:ascii="仿宋_GB2312" w:hAnsi="仿宋_GB2312" w:eastAsia="仿宋_GB2312" w:cs="仿宋_GB2312"/>
          <w:color w:val="000000"/>
          <w:sz w:val="32"/>
          <w:szCs w:val="32"/>
          <w:highlight w:val="none"/>
        </w:rPr>
        <w:t>《保证金到账通知书》</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保证金</w:t>
      </w:r>
      <w:r>
        <w:rPr>
          <w:rFonts w:hint="eastAsia" w:ascii="仿宋_GB2312" w:hAnsi="仿宋_GB2312" w:eastAsia="仿宋_GB2312" w:cs="仿宋_GB2312"/>
          <w:color w:val="000000"/>
          <w:sz w:val="32"/>
          <w:szCs w:val="32"/>
          <w:highlight w:val="none"/>
        </w:rPr>
        <w:t>进账单等）到本中心退还保证金，不计利息。</w:t>
      </w:r>
    </w:p>
    <w:p>
      <w:pPr>
        <w:pStyle w:val="2"/>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color w:val="000000"/>
          <w:kern w:val="2"/>
          <w:sz w:val="32"/>
          <w:szCs w:val="32"/>
          <w:highlight w:val="none"/>
          <w:lang w:val="en-US" w:eastAsia="zh-CN" w:bidi="ar-SA"/>
        </w:rPr>
        <w:t>《成交确认书》签订之日起5个工作日内竞得人须与出让人签订《出让合同》。</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5、司法机关要求暂停、中止或终止网上挂牌交易活动的。</w:t>
      </w:r>
    </w:p>
    <w:p>
      <w:pPr>
        <w:spacing w:line="560" w:lineRule="exact"/>
        <w:rPr>
          <w:rFonts w:ascii="仿宋_GB2312" w:eastAsia="仿宋_GB2312"/>
          <w:highlight w:val="none"/>
        </w:rPr>
      </w:pPr>
      <w:r>
        <w:rPr>
          <w:rFonts w:hint="eastAsia" w:ascii="仿宋_GB2312" w:hAnsi="仿宋_GB2312" w:eastAsia="仿宋_GB2312" w:cs="仿宋_GB2312"/>
          <w:sz w:val="32"/>
          <w:szCs w:val="32"/>
          <w:highlight w:val="none"/>
        </w:rPr>
        <w:t xml:space="preserve">    </w:t>
      </w:r>
      <w:r>
        <w:rPr>
          <w:rFonts w:hint="eastAsia" w:ascii="仿宋_GB2312" w:eastAsia="仿宋_GB2312"/>
          <w:sz w:val="32"/>
          <w:szCs w:val="32"/>
          <w:highlight w:val="none"/>
        </w:rPr>
        <w:t>6、</w:t>
      </w:r>
      <w:r>
        <w:rPr>
          <w:rFonts w:hint="eastAsia" w:ascii="仿宋_GB2312" w:eastAsia="仿宋_GB2312"/>
          <w:sz w:val="32"/>
          <w:szCs w:val="32"/>
          <w:highlight w:val="none"/>
          <w:lang w:val="en-US" w:eastAsia="zh-CN"/>
        </w:rPr>
        <w:t>惠州</w:t>
      </w:r>
      <w:r>
        <w:rPr>
          <w:rFonts w:hint="eastAsia" w:ascii="仿宋_GB2312" w:eastAsia="仿宋_GB2312"/>
          <w:sz w:val="32"/>
          <w:szCs w:val="32"/>
          <w:highlight w:val="none"/>
        </w:rPr>
        <w:t>市</w:t>
      </w:r>
      <w:r>
        <w:rPr>
          <w:rFonts w:hint="eastAsia" w:ascii="仿宋_GB2312" w:eastAsia="仿宋_GB2312"/>
          <w:sz w:val="32"/>
          <w:szCs w:val="32"/>
          <w:highlight w:val="none"/>
          <w:lang w:val="en-US" w:eastAsia="zh-CN"/>
        </w:rPr>
        <w:t>惠城区</w:t>
      </w:r>
      <w:r>
        <w:rPr>
          <w:rFonts w:hint="eastAsia" w:ascii="仿宋_GB2312" w:eastAsia="仿宋_GB2312"/>
          <w:sz w:val="32"/>
          <w:szCs w:val="32"/>
          <w:highlight w:val="none"/>
        </w:rPr>
        <w:t>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）网上挂牌成交价即为该幅地块的总地价款，竞得人除支付成交价款外，还需支付契税、印花税等有关费用。</w:t>
      </w:r>
    </w:p>
    <w:p>
      <w:pPr>
        <w:tabs>
          <w:tab w:val="left" w:pos="3388"/>
        </w:tabs>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eastAsia="仿宋_GB2312"/>
          <w:sz w:val="32"/>
          <w:szCs w:val="32"/>
          <w:highlight w:val="none"/>
        </w:rPr>
        <w:t>（十）</w:t>
      </w:r>
      <w:r>
        <w:rPr>
          <w:rFonts w:hint="eastAsia" w:ascii="仿宋_GB2312" w:hAnsi="仿宋_GB2312" w:eastAsia="仿宋_GB2312" w:cs="仿宋_GB2312"/>
          <w:sz w:val="32"/>
          <w:szCs w:val="32"/>
          <w:highlight w:val="none"/>
        </w:rPr>
        <w:t>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）本中心对本《须知》有解释权。未尽事宜依照《招标拍卖挂牌出让国有土地使用权规范》办理。</w:t>
      </w:r>
    </w:p>
    <w:p>
      <w:pPr>
        <w:pStyle w:val="2"/>
        <w:rPr>
          <w:highlight w:val="none"/>
        </w:rPr>
      </w:pPr>
    </w:p>
    <w:p>
      <w:pPr>
        <w:pStyle w:val="2"/>
        <w:rPr>
          <w:highlight w:val="none"/>
        </w:rPr>
      </w:pPr>
    </w:p>
    <w:p>
      <w:pPr>
        <w:tabs>
          <w:tab w:val="left" w:pos="3388"/>
        </w:tabs>
        <w:ind w:firstLine="4640" w:firstLineChars="145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w:t>
      </w:r>
    </w:p>
    <w:p>
      <w:pPr>
        <w:tabs>
          <w:tab w:val="left" w:pos="3388"/>
        </w:tabs>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2021年8月13</w:t>
      </w:r>
      <w:bookmarkStart w:id="8" w:name="_GoBack"/>
      <w:bookmarkEnd w:id="8"/>
      <w:r>
        <w:rPr>
          <w:rFonts w:hint="eastAsia" w:ascii="仿宋_GB2312" w:hAnsi="仿宋_GB2312" w:eastAsia="仿宋_GB2312" w:cs="仿宋_GB2312"/>
          <w:color w:val="auto"/>
          <w:sz w:val="32"/>
          <w:szCs w:val="32"/>
          <w:highlight w:val="none"/>
          <w:lang w:val="en-US" w:eastAsia="zh-CN"/>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1A11BD"/>
    <w:rsid w:val="042C6BAB"/>
    <w:rsid w:val="04BB2A35"/>
    <w:rsid w:val="04F7599A"/>
    <w:rsid w:val="054F511E"/>
    <w:rsid w:val="05616BEE"/>
    <w:rsid w:val="05AA6043"/>
    <w:rsid w:val="065D58C0"/>
    <w:rsid w:val="06E22DF8"/>
    <w:rsid w:val="071F73B3"/>
    <w:rsid w:val="077D5D24"/>
    <w:rsid w:val="07F629A0"/>
    <w:rsid w:val="091E26EA"/>
    <w:rsid w:val="09317644"/>
    <w:rsid w:val="0A812477"/>
    <w:rsid w:val="0B1406EF"/>
    <w:rsid w:val="0C052B0D"/>
    <w:rsid w:val="0C40433F"/>
    <w:rsid w:val="0DCB3B54"/>
    <w:rsid w:val="0FB217AF"/>
    <w:rsid w:val="0FB2799E"/>
    <w:rsid w:val="10152918"/>
    <w:rsid w:val="105A2768"/>
    <w:rsid w:val="10A1573B"/>
    <w:rsid w:val="10B43BC1"/>
    <w:rsid w:val="111E117E"/>
    <w:rsid w:val="11A17A14"/>
    <w:rsid w:val="12295A9F"/>
    <w:rsid w:val="12BC60FC"/>
    <w:rsid w:val="14924D3E"/>
    <w:rsid w:val="15BB632B"/>
    <w:rsid w:val="15C4392F"/>
    <w:rsid w:val="15D340EA"/>
    <w:rsid w:val="16615977"/>
    <w:rsid w:val="168C318D"/>
    <w:rsid w:val="16AE6DA7"/>
    <w:rsid w:val="170F4C1C"/>
    <w:rsid w:val="18220C10"/>
    <w:rsid w:val="1960257D"/>
    <w:rsid w:val="19D941D6"/>
    <w:rsid w:val="1CB6407B"/>
    <w:rsid w:val="1DE56E00"/>
    <w:rsid w:val="1E4A3E3B"/>
    <w:rsid w:val="1ED73189"/>
    <w:rsid w:val="1F1E4268"/>
    <w:rsid w:val="20855E22"/>
    <w:rsid w:val="21587C67"/>
    <w:rsid w:val="21A753F6"/>
    <w:rsid w:val="22463965"/>
    <w:rsid w:val="22661D8C"/>
    <w:rsid w:val="22DC01FC"/>
    <w:rsid w:val="23141DA3"/>
    <w:rsid w:val="247C6354"/>
    <w:rsid w:val="259D34B7"/>
    <w:rsid w:val="25D63F7C"/>
    <w:rsid w:val="26391FD0"/>
    <w:rsid w:val="272C05B0"/>
    <w:rsid w:val="282C1E6E"/>
    <w:rsid w:val="28D2352A"/>
    <w:rsid w:val="28ED736B"/>
    <w:rsid w:val="29220F8B"/>
    <w:rsid w:val="29DE5841"/>
    <w:rsid w:val="2A636D11"/>
    <w:rsid w:val="2AA45603"/>
    <w:rsid w:val="2B1A2077"/>
    <w:rsid w:val="2CA246FC"/>
    <w:rsid w:val="2CD752D7"/>
    <w:rsid w:val="2D027EED"/>
    <w:rsid w:val="2D2632FD"/>
    <w:rsid w:val="2DEB4267"/>
    <w:rsid w:val="2F0337D6"/>
    <w:rsid w:val="2F944F64"/>
    <w:rsid w:val="2FA2409E"/>
    <w:rsid w:val="30DB33EE"/>
    <w:rsid w:val="313D23E2"/>
    <w:rsid w:val="31880862"/>
    <w:rsid w:val="31B60A9D"/>
    <w:rsid w:val="324E22EE"/>
    <w:rsid w:val="33A33367"/>
    <w:rsid w:val="33CE0AAA"/>
    <w:rsid w:val="34B40523"/>
    <w:rsid w:val="34C41D04"/>
    <w:rsid w:val="34CD617E"/>
    <w:rsid w:val="360B04FE"/>
    <w:rsid w:val="36A2198B"/>
    <w:rsid w:val="378C6660"/>
    <w:rsid w:val="37FB7A76"/>
    <w:rsid w:val="38DE5E51"/>
    <w:rsid w:val="390E539D"/>
    <w:rsid w:val="3C4A4143"/>
    <w:rsid w:val="3C5E598F"/>
    <w:rsid w:val="3C8F0E4F"/>
    <w:rsid w:val="3CAD2EC5"/>
    <w:rsid w:val="3CB81CC8"/>
    <w:rsid w:val="3D322E34"/>
    <w:rsid w:val="3D34683B"/>
    <w:rsid w:val="3D5E1016"/>
    <w:rsid w:val="3FB91BA4"/>
    <w:rsid w:val="3FC22752"/>
    <w:rsid w:val="418879B1"/>
    <w:rsid w:val="421630A4"/>
    <w:rsid w:val="432B1A76"/>
    <w:rsid w:val="43E840B4"/>
    <w:rsid w:val="43EC1655"/>
    <w:rsid w:val="440C4340"/>
    <w:rsid w:val="4442558E"/>
    <w:rsid w:val="44811DC9"/>
    <w:rsid w:val="450E3C66"/>
    <w:rsid w:val="454309A1"/>
    <w:rsid w:val="458C06A8"/>
    <w:rsid w:val="45C47203"/>
    <w:rsid w:val="45E829E7"/>
    <w:rsid w:val="465E4F22"/>
    <w:rsid w:val="467262F8"/>
    <w:rsid w:val="46DA05EA"/>
    <w:rsid w:val="46F579AB"/>
    <w:rsid w:val="48566E44"/>
    <w:rsid w:val="48593E6F"/>
    <w:rsid w:val="48B510E7"/>
    <w:rsid w:val="493B6F1B"/>
    <w:rsid w:val="49820AE6"/>
    <w:rsid w:val="4AFF2E69"/>
    <w:rsid w:val="4BA610FC"/>
    <w:rsid w:val="4BEE1CA4"/>
    <w:rsid w:val="4CF51C39"/>
    <w:rsid w:val="4D1F6077"/>
    <w:rsid w:val="4ED2701A"/>
    <w:rsid w:val="4F1E4BBE"/>
    <w:rsid w:val="4F3537ED"/>
    <w:rsid w:val="4FFE1B2F"/>
    <w:rsid w:val="51467837"/>
    <w:rsid w:val="52132F5D"/>
    <w:rsid w:val="528F1625"/>
    <w:rsid w:val="52AA5DFE"/>
    <w:rsid w:val="533F6C66"/>
    <w:rsid w:val="544F17E9"/>
    <w:rsid w:val="546D5003"/>
    <w:rsid w:val="54943EAC"/>
    <w:rsid w:val="54C11818"/>
    <w:rsid w:val="58AC5C79"/>
    <w:rsid w:val="58B217DC"/>
    <w:rsid w:val="58FE24B1"/>
    <w:rsid w:val="59693A9B"/>
    <w:rsid w:val="5A154FE3"/>
    <w:rsid w:val="5AEE4F52"/>
    <w:rsid w:val="5B1D2CCC"/>
    <w:rsid w:val="5B52670E"/>
    <w:rsid w:val="5B625B54"/>
    <w:rsid w:val="5B640509"/>
    <w:rsid w:val="5B8E3054"/>
    <w:rsid w:val="5D006096"/>
    <w:rsid w:val="5D731ABE"/>
    <w:rsid w:val="5DB15592"/>
    <w:rsid w:val="5DF81F1B"/>
    <w:rsid w:val="5DFB50B1"/>
    <w:rsid w:val="600248A4"/>
    <w:rsid w:val="610A5EBF"/>
    <w:rsid w:val="61245A3C"/>
    <w:rsid w:val="6178185B"/>
    <w:rsid w:val="617F00E3"/>
    <w:rsid w:val="61C04C47"/>
    <w:rsid w:val="626D5569"/>
    <w:rsid w:val="62D03E81"/>
    <w:rsid w:val="62D41879"/>
    <w:rsid w:val="6398078D"/>
    <w:rsid w:val="648A18F5"/>
    <w:rsid w:val="64C30585"/>
    <w:rsid w:val="651C53A6"/>
    <w:rsid w:val="656B5E9D"/>
    <w:rsid w:val="659D6FA9"/>
    <w:rsid w:val="65F2007E"/>
    <w:rsid w:val="66C13377"/>
    <w:rsid w:val="68085778"/>
    <w:rsid w:val="688B43B5"/>
    <w:rsid w:val="69B07B1E"/>
    <w:rsid w:val="69E22ED5"/>
    <w:rsid w:val="6AA821A5"/>
    <w:rsid w:val="6B8A6BF3"/>
    <w:rsid w:val="6BFA1460"/>
    <w:rsid w:val="6C013F77"/>
    <w:rsid w:val="6C181FB4"/>
    <w:rsid w:val="6C197CDD"/>
    <w:rsid w:val="6C552EDA"/>
    <w:rsid w:val="6C5A6DDE"/>
    <w:rsid w:val="6C611252"/>
    <w:rsid w:val="6C9546AA"/>
    <w:rsid w:val="6CCC1A8E"/>
    <w:rsid w:val="6FCE2720"/>
    <w:rsid w:val="705B684C"/>
    <w:rsid w:val="714F5518"/>
    <w:rsid w:val="71AB46C8"/>
    <w:rsid w:val="74CC0B4E"/>
    <w:rsid w:val="74D35F13"/>
    <w:rsid w:val="755C76C8"/>
    <w:rsid w:val="75E43E25"/>
    <w:rsid w:val="76382CBE"/>
    <w:rsid w:val="76B47A3E"/>
    <w:rsid w:val="77A91566"/>
    <w:rsid w:val="77E167B8"/>
    <w:rsid w:val="78591F3E"/>
    <w:rsid w:val="78CA1EAE"/>
    <w:rsid w:val="7AC1669C"/>
    <w:rsid w:val="7AE44F5D"/>
    <w:rsid w:val="7B3065F7"/>
    <w:rsid w:val="7B4F2E9A"/>
    <w:rsid w:val="7B8363CD"/>
    <w:rsid w:val="7C2C4A97"/>
    <w:rsid w:val="7D5207DE"/>
    <w:rsid w:val="7F111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color w:val="555555"/>
      <w:sz w:val="21"/>
      <w:szCs w:val="21"/>
      <w:bdr w:val="single" w:color="CCCCCC" w:sz="6" w:space="0"/>
      <w:shd w:val="clear" w:fill="EEEEEE"/>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 w:type="character" w:customStyle="1" w:styleId="23">
    <w:name w:val="actspan2"/>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15</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杨惠丹</cp:lastModifiedBy>
  <cp:lastPrinted>2021-08-13T01:16:00Z</cp:lastPrinted>
  <dcterms:modified xsi:type="dcterms:W3CDTF">2021-08-13T08:32:18Z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