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hint="eastAsia" w:ascii="方正小标宋简体" w:hAnsi="方正小标宋简体" w:eastAsia="方正小标宋简体" w:cs="方正小标宋简体"/>
          <w:b w:val="0"/>
          <w:bCs w:val="0"/>
          <w:spacing w:val="3"/>
          <w:sz w:val="44"/>
          <w:szCs w:val="44"/>
        </w:rPr>
      </w:pPr>
      <w:r>
        <w:rPr>
          <w:rFonts w:hint="eastAsia" w:ascii="方正小标宋简体" w:hAnsi="方正小标宋简体" w:eastAsia="方正小标宋简体" w:cs="方正小标宋简体"/>
          <w:b w:val="0"/>
          <w:bCs w:val="0"/>
          <w:spacing w:val="3"/>
          <w:sz w:val="44"/>
          <w:szCs w:val="44"/>
        </w:rPr>
        <w:t>惠州市国有建设用地使用权</w:t>
      </w:r>
    </w:p>
    <w:p>
      <w:pPr>
        <w:tabs>
          <w:tab w:val="left" w:pos="11340"/>
        </w:tabs>
        <w:spacing w:line="600" w:lineRule="exact"/>
        <w:jc w:val="center"/>
        <w:rPr>
          <w:rFonts w:hint="eastAsia" w:ascii="方正小标宋简体" w:hAnsi="方正小标宋简体" w:eastAsia="方正小标宋简体" w:cs="方正小标宋简体"/>
          <w:b w:val="0"/>
          <w:bCs w:val="0"/>
          <w:spacing w:val="3"/>
          <w:sz w:val="44"/>
          <w:szCs w:val="44"/>
        </w:rPr>
      </w:pPr>
      <w:r>
        <w:rPr>
          <w:rFonts w:hint="eastAsia" w:ascii="方正小标宋简体" w:hAnsi="方正小标宋简体" w:eastAsia="方正小标宋简体" w:cs="方正小标宋简体"/>
          <w:b w:val="0"/>
          <w:bCs w:val="0"/>
          <w:spacing w:val="3"/>
          <w:sz w:val="44"/>
          <w:szCs w:val="44"/>
        </w:rPr>
        <w:t>网上挂牌</w:t>
      </w:r>
      <w:r>
        <w:rPr>
          <w:rFonts w:hint="eastAsia" w:ascii="方正小标宋简体" w:hAnsi="方正小标宋简体" w:eastAsia="方正小标宋简体" w:cs="方正小标宋简体"/>
          <w:b w:val="0"/>
          <w:bCs w:val="0"/>
          <w:sz w:val="44"/>
          <w:szCs w:val="44"/>
        </w:rPr>
        <w:t>出让</w:t>
      </w:r>
      <w:r>
        <w:rPr>
          <w:rFonts w:hint="eastAsia" w:ascii="方正小标宋简体" w:hAnsi="方正小标宋简体" w:eastAsia="方正小标宋简体" w:cs="方正小标宋简体"/>
          <w:b w:val="0"/>
          <w:bCs w:val="0"/>
          <w:spacing w:val="3"/>
          <w:sz w:val="44"/>
          <w:szCs w:val="44"/>
          <w:lang w:val="en-US" w:eastAsia="zh-CN"/>
        </w:rPr>
        <w:t>须知</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号</w:t>
      </w:r>
    </w:p>
    <w:p>
      <w:pPr>
        <w:rPr>
          <w:rFonts w:hint="eastAsia" w:ascii="仿宋_GB2312" w:hAnsi="仿宋_GB2312" w:eastAsia="仿宋_GB2312" w:cs="仿宋_GB2312"/>
          <w:sz w:val="32"/>
          <w:szCs w:val="32"/>
        </w:rPr>
      </w:pP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城区人民政府，受惠州市惠城区自然资源局委托，本中心以网上挂牌交易方式出让下列国有建设用地使用权。</w:t>
      </w:r>
      <w:bookmarkStart w:id="0" w:name="99"/>
      <w:bookmarkEnd w:id="0"/>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）地块位置：惠城区高新科技产业园南部片区B-10-01-04地块;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（三）用地编号：B-10-01-04;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（四）地块范围：</w:t>
      </w:r>
      <w:r>
        <w:rPr>
          <w:rFonts w:hint="default" w:ascii="Times New Roman" w:hAnsi="Times New Roman" w:eastAsia="仿宋_GB2312" w:cs="Times New Roman"/>
          <w:color w:val="auto"/>
          <w:kern w:val="2"/>
          <w:sz w:val="32"/>
          <w:szCs w:val="32"/>
          <w:highlight w:val="none"/>
        </w:rPr>
        <w:t>平面界址点以</w:t>
      </w:r>
      <w:r>
        <w:rPr>
          <w:rFonts w:hint="eastAsia" w:ascii="Times New Roman" w:hAnsi="Times New Roman" w:eastAsia="仿宋_GB2312" w:cs="Times New Roman"/>
          <w:color w:val="auto"/>
          <w:kern w:val="2"/>
          <w:sz w:val="32"/>
          <w:szCs w:val="32"/>
          <w:highlight w:val="none"/>
          <w:lang w:eastAsia="zh-CN"/>
        </w:rPr>
        <w:t>《建设用地红线图》</w:t>
      </w:r>
      <w:r>
        <w:rPr>
          <w:rFonts w:hint="default" w:ascii="Times New Roman" w:hAnsi="Times New Roman" w:eastAsia="仿宋_GB2312" w:cs="Times New Roman"/>
          <w:color w:val="auto"/>
          <w:kern w:val="2"/>
          <w:sz w:val="32"/>
          <w:szCs w:val="32"/>
          <w:highlight w:val="none"/>
        </w:rPr>
        <w:t>为准，宗地竖向界限以《</w:t>
      </w:r>
      <w:r>
        <w:rPr>
          <w:rFonts w:hint="eastAsia" w:ascii="仿宋_GB2312" w:hAnsi="宋体" w:eastAsia="仿宋_GB2312" w:cs="宋体"/>
          <w:color w:val="auto"/>
          <w:kern w:val="0"/>
          <w:sz w:val="32"/>
          <w:szCs w:val="32"/>
          <w:lang w:val="en-US" w:eastAsia="zh-CN" w:bidi="ar-SA"/>
        </w:rPr>
        <w:t>规划设计条件告知书</w:t>
      </w:r>
      <w:r>
        <w:rPr>
          <w:rFonts w:hint="default" w:ascii="Times New Roman" w:hAnsi="Times New Roman" w:eastAsia="仿宋_GB2312" w:cs="Times New Roman"/>
          <w:color w:val="auto"/>
          <w:kern w:val="2"/>
          <w:sz w:val="32"/>
          <w:szCs w:val="32"/>
          <w:highlight w:val="none"/>
        </w:rPr>
        <w:t>》（案卷编号：PB2021</w:t>
      </w:r>
      <w:r>
        <w:rPr>
          <w:rFonts w:hint="eastAsia" w:ascii="Times New Roman" w:hAnsi="Times New Roman" w:eastAsia="仿宋_GB2312" w:cs="Times New Roman"/>
          <w:color w:val="auto"/>
          <w:kern w:val="2"/>
          <w:sz w:val="32"/>
          <w:szCs w:val="32"/>
          <w:highlight w:val="none"/>
          <w:lang w:val="en-US" w:eastAsia="zh-CN"/>
        </w:rPr>
        <w:t>0085</w:t>
      </w:r>
      <w:r>
        <w:rPr>
          <w:rFonts w:hint="default" w:ascii="Times New Roman" w:hAnsi="Times New Roman" w:eastAsia="仿宋_GB2312" w:cs="Times New Roman"/>
          <w:color w:val="auto"/>
          <w:kern w:val="2"/>
          <w:sz w:val="32"/>
          <w:szCs w:val="32"/>
          <w:highlight w:val="none"/>
        </w:rPr>
        <w:t>）规定为准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宗地使用权面积为：29794.24</w:t>
      </w:r>
      <w:r>
        <w:rPr>
          <w:rFonts w:hint="default" w:ascii="仿宋_GB2312" w:hAnsi="仿宋_GB2312" w:eastAsia="仿宋_GB2312" w:cs="仿宋_GB2312"/>
          <w:sz w:val="32"/>
          <w:szCs w:val="32"/>
          <w:lang w:val="en-US" w:eastAsia="zh-CN"/>
        </w:rPr>
        <w:t>平方米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（六）计算指标用地面积为：43877</w:t>
      </w:r>
      <w:r>
        <w:rPr>
          <w:rFonts w:hint="default" w:ascii="仿宋_GB2312" w:hAnsi="仿宋_GB2312" w:eastAsia="仿宋_GB2312" w:cs="仿宋_GB2312"/>
          <w:sz w:val="32"/>
          <w:szCs w:val="32"/>
          <w:lang w:val="en-US" w:eastAsia="zh-CN"/>
        </w:rPr>
        <w:t>平方米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（七）计容积率建筑面积为：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131631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（八）容积率为：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（九）建筑密度为：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30%(其中建筑住宅净密度≤22%)；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十）绿地率为：</w:t>
      </w:r>
      <w:r>
        <w:rPr>
          <w:rFonts w:hint="default"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）机动车停车位配建标准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每100㎡计容积率面积≥1个</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二类</w:t>
      </w:r>
      <w:r>
        <w:rPr>
          <w:rFonts w:hint="default" w:ascii="仿宋_GB2312" w:hAnsi="仿宋_GB2312" w:eastAsia="仿宋_GB2312" w:cs="仿宋_GB2312"/>
          <w:sz w:val="32"/>
          <w:szCs w:val="32"/>
        </w:rPr>
        <w:t>城镇住宅</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商服用地</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）土地使用权出让年期为：住宅70年、商服40年；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）适建性：</w:t>
      </w:r>
      <w:r>
        <w:rPr>
          <w:rFonts w:hint="default" w:ascii="Times New Roman" w:hAnsi="Times New Roman" w:eastAsia="仿宋_GB2312" w:cs="Times New Roman"/>
          <w:sz w:val="32"/>
          <w:szCs w:val="32"/>
        </w:rPr>
        <w:t>住宅、商业及配套设施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）动工及竣工时间：地块动工时间为地块交付之日起一年内，竣工时间为动工之日起三年内（因不可抗拒因素除外）；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0"/>
          <w:szCs w:val="30"/>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、《出让合同》（</w:t>
      </w:r>
      <w:r>
        <w:rPr>
          <w:rFonts w:hint="eastAsia" w:ascii="仿宋_GB2312" w:hAnsi="仿宋_GB2312" w:eastAsia="仿宋_GB2312" w:cs="仿宋_GB2312"/>
          <w:sz w:val="32"/>
          <w:szCs w:val="32"/>
          <w:lang w:val="en-US" w:eastAsia="zh-CN"/>
        </w:rPr>
        <w:t>正本</w:t>
      </w:r>
      <w:r>
        <w:rPr>
          <w:rFonts w:hint="eastAsia" w:ascii="仿宋_GB2312" w:hAnsi="仿宋_GB2312" w:eastAsia="仿宋_GB2312" w:cs="仿宋_GB2312"/>
          <w:sz w:val="32"/>
          <w:szCs w:val="32"/>
          <w:lang w:eastAsia="zh-CN"/>
        </w:rPr>
        <w:t>）和地价款交款凭证等</w:t>
      </w:r>
      <w:r>
        <w:rPr>
          <w:rFonts w:hint="eastAsia" w:ascii="仿宋_GB2312" w:hAnsi="仿宋_GB2312" w:eastAsia="仿宋_GB2312" w:cs="仿宋_GB2312"/>
          <w:sz w:val="32"/>
          <w:szCs w:val="32"/>
        </w:rPr>
        <w:t>申请办理土地初始登记，领取《不动产权证书》。</w:t>
      </w:r>
      <w:r>
        <w:rPr>
          <w:rFonts w:hint="default" w:ascii="Times New Roman" w:hAnsi="Times New Roman" w:eastAsia="仿宋_GB2312" w:cs="Times New Roman"/>
          <w:sz w:val="32"/>
          <w:szCs w:val="32"/>
        </w:rPr>
        <w:t xml:space="preserve"> </w:t>
      </w:r>
    </w:p>
    <w:p>
      <w:pPr>
        <w:tabs>
          <w:tab w:val="left" w:pos="3388"/>
        </w:tabs>
        <w:spacing w:line="560" w:lineRule="exact"/>
        <w:jc w:val="left"/>
        <w:rPr>
          <w:rFonts w:hint="default" w:ascii="Times New Roman" w:hAnsi="Times New Roman" w:eastAsia="仿宋_GB2312" w:cs="Times New Roman"/>
          <w:b/>
          <w:bCs/>
          <w:sz w:val="32"/>
          <w:szCs w:val="32"/>
        </w:rPr>
      </w:pPr>
      <w:r>
        <w:rPr>
          <w:rFonts w:hint="eastAsia" w:ascii="仿宋_GB2312" w:hAnsi="仿宋_GB2312" w:eastAsia="仿宋_GB2312" w:cs="仿宋_GB2312"/>
          <w:b/>
          <w:bCs/>
          <w:sz w:val="32"/>
          <w:szCs w:val="32"/>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107490</w:t>
      </w:r>
      <w:r>
        <w:rPr>
          <w:rFonts w:hint="eastAsia" w:ascii="仿宋_GB2312" w:hAnsi="仿宋_GB2312" w:eastAsia="仿宋_GB2312" w:cs="仿宋_GB2312"/>
          <w:sz w:val="32"/>
          <w:szCs w:val="32"/>
        </w:rPr>
        <w:t>万元（含地价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不含地价溢价部分）。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三</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该地属政府储备地，没有法律经济纠纷，具备动工开发所必须的基本条件。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rPr>
        <w:t>（四）</w:t>
      </w:r>
      <w:r>
        <w:rPr>
          <w:rFonts w:hint="eastAsia" w:ascii="仿宋_GB2312" w:hAnsi="仿宋_GB2312" w:eastAsia="仿宋_GB2312" w:cs="仿宋_GB2312"/>
          <w:kern w:val="2"/>
          <w:sz w:val="32"/>
          <w:szCs w:val="32"/>
          <w:lang w:val="en-US" w:eastAsia="zh-CN" w:bidi="ar-SA"/>
        </w:rPr>
        <w:t>竞得人在用</w:t>
      </w:r>
      <w:r>
        <w:rPr>
          <w:rFonts w:hint="eastAsia" w:ascii="仿宋_GB2312" w:hAnsi="仿宋_GB2312" w:eastAsia="仿宋_GB2312" w:cs="仿宋_GB2312"/>
          <w:kern w:val="2"/>
          <w:sz w:val="32"/>
          <w:szCs w:val="32"/>
        </w:rPr>
        <w:t>地红线内开发建设必须符合城市规划要求，必须按《</w:t>
      </w:r>
      <w:r>
        <w:rPr>
          <w:rFonts w:hint="eastAsia" w:ascii="仿宋_GB2312" w:hAnsi="宋体" w:eastAsia="仿宋_GB2312" w:cs="宋体"/>
          <w:color w:val="auto"/>
          <w:kern w:val="0"/>
          <w:sz w:val="32"/>
          <w:szCs w:val="32"/>
          <w:lang w:val="en-US" w:eastAsia="zh-CN" w:bidi="ar-SA"/>
        </w:rPr>
        <w:t>规划设计条件告知书</w:t>
      </w:r>
      <w:r>
        <w:rPr>
          <w:rFonts w:hint="eastAsia" w:ascii="仿宋_GB2312" w:hAnsi="仿宋_GB2312" w:eastAsia="仿宋_GB2312" w:cs="仿宋_GB2312"/>
          <w:kern w:val="2"/>
          <w:sz w:val="32"/>
          <w:szCs w:val="32"/>
        </w:rPr>
        <w:t>》（案卷编号：</w:t>
      </w:r>
      <w:r>
        <w:rPr>
          <w:rFonts w:hint="eastAsia" w:ascii="仿宋_GB2312" w:hAnsi="仿宋_GB2312" w:eastAsia="仿宋_GB2312" w:cs="仿宋_GB2312"/>
          <w:kern w:val="2"/>
          <w:sz w:val="32"/>
          <w:szCs w:val="32"/>
          <w:lang w:eastAsia="zh-CN"/>
        </w:rPr>
        <w:t>PB202</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0</w:t>
      </w:r>
      <w:r>
        <w:rPr>
          <w:rFonts w:hint="eastAsia" w:ascii="仿宋_GB2312" w:hAnsi="仿宋_GB2312" w:eastAsia="仿宋_GB2312" w:cs="仿宋_GB2312"/>
          <w:kern w:val="2"/>
          <w:sz w:val="32"/>
          <w:szCs w:val="32"/>
          <w:lang w:val="en-US" w:eastAsia="zh-CN"/>
        </w:rPr>
        <w:t>085</w:t>
      </w:r>
      <w:r>
        <w:rPr>
          <w:rFonts w:hint="eastAsia" w:ascii="仿宋_GB2312" w:hAnsi="仿宋_GB2312" w:eastAsia="仿宋_GB2312" w:cs="仿宋_GB2312"/>
          <w:kern w:val="2"/>
          <w:sz w:val="32"/>
          <w:szCs w:val="32"/>
        </w:rPr>
        <w:t>）规划控制指标要求及有关规定进行规划设计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lang w:val="en-US" w:eastAsia="zh-CN"/>
        </w:rPr>
        <w:t>（五）</w:t>
      </w:r>
      <w:r>
        <w:rPr>
          <w:rFonts w:hint="eastAsia" w:ascii="仿宋_GB2312" w:hAnsi="仿宋_GB2312" w:eastAsia="仿宋_GB2312" w:cs="仿宋_GB2312"/>
          <w:color w:val="auto"/>
          <w:sz w:val="32"/>
          <w:szCs w:val="32"/>
          <w:highlight w:val="none"/>
        </w:rPr>
        <w:t>该地块所建单套毛坯</w:t>
      </w:r>
      <w:r>
        <w:rPr>
          <w:rFonts w:hint="eastAsia" w:ascii="仿宋_GB2312" w:hAnsi="仿宋_GB2312" w:eastAsia="仿宋_GB2312" w:cs="仿宋_GB2312"/>
          <w:color w:val="auto"/>
          <w:sz w:val="32"/>
          <w:szCs w:val="32"/>
          <w:highlight w:val="none"/>
          <w:lang w:val="en-US" w:eastAsia="zh-CN"/>
        </w:rPr>
        <w:t>商品住宅</w:t>
      </w:r>
      <w:r>
        <w:rPr>
          <w:rFonts w:hint="eastAsia" w:ascii="仿宋_GB2312" w:hAnsi="仿宋_GB2312" w:eastAsia="仿宋_GB2312" w:cs="仿宋_GB2312"/>
          <w:color w:val="auto"/>
          <w:sz w:val="32"/>
          <w:szCs w:val="32"/>
          <w:highlight w:val="none"/>
        </w:rPr>
        <w:t>销售单价</w:t>
      </w:r>
      <w:r>
        <w:rPr>
          <w:rFonts w:hint="eastAsia" w:ascii="仿宋_GB2312" w:hAnsi="仿宋_GB2312" w:eastAsia="仿宋_GB2312" w:cs="仿宋_GB2312"/>
          <w:color w:val="auto"/>
          <w:sz w:val="32"/>
          <w:szCs w:val="32"/>
          <w:highlight w:val="none"/>
          <w:lang w:val="en-US" w:eastAsia="zh-CN"/>
        </w:rPr>
        <w:t>不高于15594</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kern w:val="2"/>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（六）</w:t>
      </w:r>
      <w:r>
        <w:rPr>
          <w:rFonts w:hint="eastAsia" w:ascii="仿宋_GB2312" w:hAnsi="仿宋_GB2312" w:eastAsia="仿宋_GB2312" w:cs="仿宋_GB2312"/>
          <w:sz w:val="32"/>
          <w:szCs w:val="32"/>
        </w:rPr>
        <w:t>竞得人须按《</w:t>
      </w:r>
      <w:r>
        <w:rPr>
          <w:rFonts w:hint="eastAsia" w:ascii="仿宋_GB2312" w:hAnsi="宋体" w:eastAsia="仿宋_GB2312" w:cs="宋体"/>
          <w:color w:val="auto"/>
          <w:kern w:val="0"/>
          <w:sz w:val="32"/>
          <w:szCs w:val="32"/>
          <w:lang w:val="en-US" w:eastAsia="zh-CN" w:bidi="ar-SA"/>
        </w:rPr>
        <w:t>规划设计条件告知书</w:t>
      </w:r>
      <w:r>
        <w:rPr>
          <w:rFonts w:hint="eastAsia" w:ascii="仿宋_GB2312" w:hAnsi="仿宋_GB2312" w:eastAsia="仿宋_GB2312" w:cs="仿宋_GB2312"/>
          <w:sz w:val="32"/>
          <w:szCs w:val="32"/>
        </w:rPr>
        <w:t>》（案卷编号：</w:t>
      </w:r>
      <w:r>
        <w:rPr>
          <w:rFonts w:hint="eastAsia" w:ascii="仿宋_GB2312" w:hAnsi="仿宋_GB2312" w:eastAsia="仿宋_GB2312" w:cs="仿宋_GB2312"/>
          <w:sz w:val="32"/>
          <w:szCs w:val="32"/>
          <w:lang w:eastAsia="zh-CN"/>
        </w:rPr>
        <w:t>PB202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lang w:val="en-US" w:eastAsia="zh-CN"/>
        </w:rPr>
        <w:t>085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要求配建相关配套设施</w:t>
      </w:r>
      <w:r>
        <w:rPr>
          <w:rFonts w:hint="eastAsia" w:ascii="仿宋_GB2312" w:hAnsi="仿宋_GB2312" w:eastAsia="仿宋_GB2312" w:cs="仿宋_GB2312"/>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color w:val="auto"/>
          <w:kern w:val="2"/>
          <w:sz w:val="32"/>
          <w:szCs w:val="32"/>
          <w:highlight w:val="none"/>
          <w:lang w:val="en-US" w:eastAsia="zh-CN"/>
        </w:rPr>
        <w:t>竞得人须根据《关于明确惠城区高新园三栋中心园南部片区B-10-01-05地块配建人才房建设要求的函》（惠城园函〔2021〕83号）要求配建人才房计容总建筑面积不少于10800平方米，单套人才房建筑面积60至100平方米，户型分为一房一厅一卫、两房一厅一卫、三房两厅一卫共三类，南北通透或东南朝向，并按照该地块《规划设计条件告知书》配建停车位等，具体设计方案须经区高新园管委会确认后，与B-10-01-04地块同步报建</w:t>
      </w:r>
      <w:r>
        <w:rPr>
          <w:rFonts w:hint="default" w:ascii="仿宋_GB2312" w:hAnsi="仿宋_GB2312" w:eastAsia="仿宋_GB2312" w:cs="仿宋_GB2312"/>
          <w:color w:val="auto"/>
          <w:kern w:val="2"/>
          <w:sz w:val="32"/>
          <w:szCs w:val="32"/>
          <w:highlight w:val="none"/>
          <w:lang w:val="en-US" w:eastAsia="zh-CN"/>
        </w:rPr>
        <w:t>同步</w:t>
      </w:r>
      <w:r>
        <w:rPr>
          <w:rFonts w:hint="eastAsia" w:ascii="仿宋_GB2312" w:hAnsi="仿宋_GB2312" w:eastAsia="仿宋_GB2312" w:cs="仿宋_GB2312"/>
          <w:color w:val="auto"/>
          <w:kern w:val="2"/>
          <w:sz w:val="32"/>
          <w:szCs w:val="32"/>
          <w:highlight w:val="none"/>
          <w:lang w:val="en-US" w:eastAsia="zh-CN"/>
        </w:rPr>
        <w:t>建设。该人才房工程竣工验收合格后，须将宗地用地、建筑物及配套设施、设备和附属物（含完整的工程档案资料）产权一并无偿移交区属国有企业，交付时间不得晚于B-10-01-04地块工程或其首期工程交付时间。竞得人在竞得地块后须先与</w:t>
      </w:r>
      <w:r>
        <w:rPr>
          <w:rFonts w:hint="eastAsia" w:ascii="Times New Roman" w:hAnsi="Times New Roman" w:eastAsia="仿宋_GB2312" w:cs="Times New Roman"/>
          <w:color w:val="auto"/>
          <w:kern w:val="2"/>
          <w:sz w:val="32"/>
          <w:szCs w:val="32"/>
          <w:highlight w:val="none"/>
          <w:lang w:val="en-US" w:eastAsia="zh-CN"/>
        </w:rPr>
        <w:t>区属国有企业签订人才房建设与移交协议后方可与区自然资源局签订《国有建设用地使用权出让合同》。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
          <w:sz w:val="32"/>
          <w:szCs w:val="32"/>
          <w:highlight w:val="none"/>
          <w:lang w:val="en-US" w:eastAsia="zh-CN"/>
        </w:rPr>
        <w:t>竞得人须按规划要求承担B-10-01-04、B-10-01-05地块内的密路网（包括雨水管、污水管、电力电缆沟和通信电缆沟）的建设，建成后无偿交给市政府相关部门并开放给公众使用，密路网建设应与B-10-01-04同步规划设计、同步建设、同步验收交付使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kern w:val="2"/>
          <w:sz w:val="32"/>
          <w:szCs w:val="32"/>
          <w:lang w:val="en-US" w:eastAsia="zh-CN"/>
        </w:rPr>
        <w:t>九</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highlight w:val="none"/>
          <w:lang w:val="en-US" w:eastAsia="zh-CN"/>
        </w:rPr>
        <w:t>竞得人须按规划要求承担B-10-01-06地块内幼儿园建设工作，须与B-10-01-04地块同步规划设计、同步建设、同步验收交付使用，如B-10-01-04分期建设，幼儿园应纳入首期工程。在办理用地手续时，应在出让合同中明确由B-10-01-04地块使用权者按照规划要求和惠城区教育局提出的建设标准完成配套幼儿园建设并无偿移交惠城区教育局</w:t>
      </w:r>
      <w:r>
        <w:rPr>
          <w:rFonts w:hint="eastAsia" w:ascii="仿宋_GB2312" w:hAnsi="仿宋_GB2312" w:eastAsia="仿宋_GB2312" w:cs="仿宋_GB2312"/>
          <w:sz w:val="32"/>
          <w:szCs w:val="32"/>
          <w:lang w:val="en-US"/>
        </w:rPr>
        <w:t>。</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keepNext w:val="0"/>
        <w:keepLines w:val="0"/>
        <w:pageBreakBefore w:val="0"/>
        <w:kinsoku/>
        <w:wordWrap/>
        <w:overflowPunct/>
        <w:topLinePunct w:val="0"/>
        <w:autoSpaceDE/>
        <w:autoSpaceDN/>
        <w:bidi w:val="0"/>
        <w:spacing w:line="64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中华人民共和国境内外的法人和其他组织（除法律法规另有规定外）均可申请参加竞买，但竞买申请人需具备房地产开发资质，网上挂牌交易结束后提交《房地产企业开发资质证书》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且同一企业及控股公司只允许一家企业参与竞买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申请企业可以单独申请，也可以联合申请：</w:t>
      </w:r>
    </w:p>
    <w:p>
      <w:pPr>
        <w:tabs>
          <w:tab w:val="left" w:pos="3388"/>
        </w:tabs>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18984万元人民币，如以外币缴交竞买保证金的，须缴交美元2939万元或港币22879万元。</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（三）存在下列违法违规违约行为之一的企业及其控股股东，不得参与竞买上述地块：</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7、购地资金超过“三道红线”，存在重大失信行为的；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8、存在其它被禁止竞买土地行为的。</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竞得人有下列行为之一的，取消竞得人资格，</w:t>
      </w:r>
      <w:r>
        <w:rPr>
          <w:rFonts w:hint="default" w:ascii="Times New Roman" w:hAnsi="Times New Roman" w:eastAsia="仿宋_GB2312" w:cs="Times New Roman"/>
          <w:sz w:val="32"/>
          <w:szCs w:val="32"/>
          <w:lang w:val="en-US" w:eastAsia="zh-CN"/>
        </w:rPr>
        <w:t>竞买保证金不予退还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并由有关部门依法处理，</w:t>
      </w:r>
      <w:r>
        <w:rPr>
          <w:rFonts w:hint="default" w:ascii="Times New Roman" w:hAnsi="Times New Roman" w:eastAsia="仿宋_GB2312" w:cs="Times New Roman"/>
          <w:sz w:val="32"/>
          <w:szCs w:val="32"/>
        </w:rPr>
        <w:t>造成损失的，竞得人还应依法承担赔偿责任：</w:t>
      </w:r>
    </w:p>
    <w:p>
      <w:pPr>
        <w:tabs>
          <w:tab w:val="left" w:pos="3388"/>
        </w:tabs>
        <w:spacing w:line="560" w:lineRule="exact"/>
        <w:jc w:val="left"/>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（一）不符合竞买资格条件的。</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hint="default" w:ascii="Times New Roman" w:hAnsi="Times New Roman" w:eastAsia="仿宋_GB2312" w:cs="Times New Roman"/>
          <w:b/>
          <w:bCs/>
          <w:sz w:val="32"/>
          <w:szCs w:val="32"/>
        </w:rPr>
      </w:pPr>
      <w:r>
        <w:rPr>
          <w:rFonts w:hint="eastAsia" w:ascii="仿宋_GB2312" w:hAnsi="仿宋_GB2312" w:eastAsia="仿宋_GB2312" w:cs="仿宋_GB2312"/>
          <w:b/>
          <w:bCs/>
          <w:sz w:val="32"/>
          <w:szCs w:val="32"/>
        </w:rPr>
        <w:t>七、网上挂牌出让地块的起始价、增</w:t>
      </w:r>
      <w:r>
        <w:rPr>
          <w:rFonts w:hint="eastAsia" w:ascii="仿宋_GB2312" w:hAnsi="仿宋_GB2312" w:eastAsia="仿宋_GB2312" w:cs="仿宋_GB2312"/>
          <w:b/>
          <w:bCs/>
          <w:sz w:val="32"/>
          <w:szCs w:val="32"/>
          <w:lang w:val="en-US" w:eastAsia="zh-CN"/>
        </w:rPr>
        <w:t>价</w:t>
      </w:r>
      <w:r>
        <w:rPr>
          <w:rFonts w:hint="eastAsia" w:ascii="仿宋_GB2312" w:hAnsi="仿宋_GB2312" w:eastAsia="仿宋_GB2312" w:cs="仿宋_GB2312"/>
          <w:b/>
          <w:bCs/>
          <w:sz w:val="32"/>
          <w:szCs w:val="32"/>
        </w:rPr>
        <w:t>幅度</w:t>
      </w:r>
    </w:p>
    <w:p>
      <w:pPr>
        <w:tabs>
          <w:tab w:val="left" w:pos="3388"/>
        </w:tabs>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陆亿叁仟贰佰捌拾万</w:t>
      </w:r>
      <w:r>
        <w:rPr>
          <w:rFonts w:hint="eastAsia" w:ascii="仿宋_GB2312" w:hAnsi="仿宋_GB2312" w:eastAsia="仿宋_GB2312" w:cs="仿宋_GB2312"/>
          <w:sz w:val="32"/>
          <w:szCs w:val="32"/>
          <w:u w:val="single"/>
        </w:rPr>
        <w:t>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highlight w:val="none"/>
          <w:u w:val="single"/>
          <w:lang w:val="en-US" w:eastAsia="zh-CN"/>
        </w:rPr>
        <w:t>63280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伍佰</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tabs>
          <w:tab w:val="left" w:pos="3388"/>
        </w:tabs>
        <w:spacing w:line="560" w:lineRule="exact"/>
        <w:jc w:val="left"/>
        <w:rPr>
          <w:rFonts w:hint="eastAsia"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网上挂牌时间为10个工作日，不包括法定节假日。具体如下：</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日9时。</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日10时。</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日9时。</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hint="default" w:ascii="Times New Roman" w:hAnsi="Times New Roman" w:eastAsia="仿宋_GB2312" w:cs="Times New Roman"/>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惠州市国有建设用地使用权网上挂牌出让公告；</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2、惠州市国有建设用地使用权网上挂牌出让须知；</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挂牌出让地块现状图；</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4、红线图；</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kern w:val="2"/>
          <w:sz w:val="32"/>
          <w:szCs w:val="32"/>
        </w:rPr>
        <w:t>《</w:t>
      </w:r>
      <w:r>
        <w:rPr>
          <w:rFonts w:hint="eastAsia" w:ascii="仿宋_GB2312" w:hAnsi="宋体" w:eastAsia="仿宋_GB2312" w:cs="宋体"/>
          <w:color w:val="auto"/>
          <w:kern w:val="0"/>
          <w:sz w:val="32"/>
          <w:szCs w:val="32"/>
          <w:lang w:val="en-US" w:eastAsia="zh-CN" w:bidi="ar-SA"/>
        </w:rPr>
        <w:t>规划设计条件告知书</w:t>
      </w:r>
      <w:r>
        <w:rPr>
          <w:rFonts w:hint="eastAsia" w:ascii="仿宋_GB2312" w:hAnsi="仿宋_GB2312" w:eastAsia="仿宋_GB2312" w:cs="仿宋_GB2312"/>
          <w:kern w:val="2"/>
          <w:sz w:val="32"/>
          <w:szCs w:val="32"/>
        </w:rPr>
        <w:t>》（案卷编号：</w:t>
      </w:r>
      <w:r>
        <w:rPr>
          <w:rFonts w:hint="eastAsia" w:ascii="仿宋_GB2312" w:hAnsi="仿宋_GB2312" w:eastAsia="仿宋_GB2312" w:cs="仿宋_GB2312"/>
          <w:kern w:val="2"/>
          <w:sz w:val="32"/>
          <w:szCs w:val="32"/>
          <w:lang w:eastAsia="zh-CN"/>
        </w:rPr>
        <w:t>PB202</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0</w:t>
      </w:r>
      <w:r>
        <w:rPr>
          <w:rFonts w:hint="eastAsia" w:ascii="仿宋_GB2312" w:hAnsi="仿宋_GB2312" w:eastAsia="仿宋_GB2312" w:cs="仿宋_GB2312"/>
          <w:kern w:val="2"/>
          <w:sz w:val="32"/>
          <w:szCs w:val="32"/>
          <w:lang w:val="en-US" w:eastAsia="zh-CN"/>
        </w:rPr>
        <w:t>085</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val="en-US" w:eastAsia="zh-CN"/>
        </w:rPr>
        <w:t>国有建设用地使用权电子挂牌</w:t>
      </w:r>
      <w:r>
        <w:rPr>
          <w:rFonts w:hint="eastAsia" w:ascii="仿宋_GB2312" w:hAnsi="仿宋_GB2312" w:eastAsia="仿宋_GB2312" w:cs="仿宋_GB2312"/>
          <w:sz w:val="32"/>
          <w:szCs w:val="32"/>
        </w:rPr>
        <w:t>交易成交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书”）样本；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《国有建设用地使用权出让合同》（以下简称“出让合同”）样本；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8、其他相关文件</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w:t>
      </w:r>
      <w:r>
        <w:rPr>
          <w:rFonts w:hint="eastAsia" w:ascii="仿宋_GB2312" w:hAnsi="仿宋_GB2312" w:eastAsia="仿宋_GB2312" w:cs="仿宋_GB2312"/>
          <w:sz w:val="32"/>
          <w:szCs w:val="32"/>
        </w:rPr>
        <w:t>0752-7121029</w:t>
      </w:r>
      <w:r>
        <w:rPr>
          <w:rFonts w:hint="eastAsia" w:ascii="仿宋_GB2312" w:hAnsi="仿宋_GB2312" w:eastAsia="仿宋_GB2312" w:cs="仿宋_GB2312"/>
          <w:sz w:val="32"/>
          <w:szCs w:val="32"/>
          <w:highlight w:val="none"/>
        </w:rPr>
        <w:t>）申请办理。</w:t>
      </w:r>
    </w:p>
    <w:p>
      <w:pPr>
        <w:tabs>
          <w:tab w:val="left" w:pos="3388"/>
        </w:tabs>
        <w:spacing w:line="560" w:lineRule="exact"/>
        <w:jc w:val="left"/>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highlight w:val="none"/>
        </w:rPr>
        <w:t>数字证书的办理流程详见网上挂牌交易系统上的《数字证书办理指南》</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hint="default" w:ascii="Times New Roman" w:hAnsi="Times New Roman" w:eastAsia="仿宋_GB2312" w:cs="Times New Roman"/>
          <w:b/>
          <w:bCs/>
          <w:sz w:val="32"/>
          <w:szCs w:val="32"/>
        </w:rPr>
      </w:pPr>
      <w:bookmarkStart w:id="4" w:name="103"/>
      <w:bookmarkEnd w:id="4"/>
      <w:r>
        <w:rPr>
          <w:rFonts w:hint="default" w:ascii="Times New Roman" w:hAnsi="Times New Roman" w:eastAsia="仿宋_GB2312" w:cs="Times New Roman"/>
          <w:b/>
          <w:bCs/>
          <w:sz w:val="32"/>
          <w:szCs w:val="32"/>
        </w:rPr>
        <w:t xml:space="preserve"> </w:t>
      </w:r>
      <w:r>
        <w:rPr>
          <w:rFonts w:hint="eastAsia" w:ascii="仿宋_GB2312" w:hAnsi="仿宋_GB2312" w:eastAsia="仿宋_GB2312" w:cs="仿宋_GB2312"/>
          <w:b/>
          <w:bCs/>
          <w:sz w:val="32"/>
          <w:szCs w:val="32"/>
        </w:rPr>
        <w:t>十二、竞买保证金</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壹亿捌仟玖佰捌拾肆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18984</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贰仟玖佰叁拾玖</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USD</w:t>
      </w:r>
      <w:r>
        <w:rPr>
          <w:rFonts w:hint="eastAsia" w:ascii="仿宋_GB2312" w:hAnsi="仿宋_GB2312" w:eastAsia="仿宋_GB2312" w:cs="仿宋_GB2312"/>
          <w:sz w:val="32"/>
          <w:szCs w:val="32"/>
          <w:u w:val="single"/>
          <w:lang w:val="en-US" w:eastAsia="zh-CN"/>
        </w:rPr>
        <w:t>2939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或港</w:t>
      </w:r>
      <w:r>
        <w:rPr>
          <w:rFonts w:hint="eastAsia" w:ascii="仿宋_GB2312" w:hAnsi="仿宋_GB2312" w:eastAsia="仿宋_GB2312" w:cs="仿宋_GB2312"/>
          <w:sz w:val="32"/>
          <w:szCs w:val="32"/>
          <w:lang w:val="en-US" w:eastAsia="zh-CN"/>
        </w:rPr>
        <w:t>币</w:t>
      </w:r>
      <w:r>
        <w:rPr>
          <w:rFonts w:hint="eastAsia" w:ascii="仿宋_GB2312" w:hAnsi="仿宋_GB2312" w:eastAsia="仿宋_GB2312" w:cs="仿宋_GB2312"/>
          <w:sz w:val="32"/>
          <w:szCs w:val="32"/>
          <w:u w:val="single"/>
          <w:lang w:val="en-US" w:eastAsia="zh-CN"/>
        </w:rPr>
        <w:t>贰亿贰仟捌佰柒拾玖</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HKD</w:t>
      </w:r>
      <w:r>
        <w:rPr>
          <w:rFonts w:hint="eastAsia" w:ascii="仿宋_GB2312" w:hAnsi="仿宋_GB2312" w:eastAsia="仿宋_GB2312" w:cs="仿宋_GB2312"/>
          <w:sz w:val="32"/>
          <w:szCs w:val="32"/>
          <w:u w:val="single"/>
        </w:rPr>
        <w:t>22879</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（四）跨地区或跨行转账的竞买人，需预足资金的在途时间，以免影响竞买人及时取得竞买资格。</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（五）竞买保证金到账时间以网上挂牌交易系统颁发《保证金到账通知书》为准。</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（六）竞买保证金开户单位：惠州市公共资源交易中心</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竞买保证金账号：网上挂牌交易系统随机产生子账号。</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中国建设银行惠州广场支行。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中国银行惠州分行。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中国工商银行股份有限公司惠州富力国际中心支行 。</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中国农业银行惠州分行。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广发银行惠州江北支行。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交通银行惠州分行。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惠州市农村商业银行股份有限公司惠城支行。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上海浦东发展银行股份有限公司惠州分行 。</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中国民生银行股份有限公司惠州分行。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10、中国光大银行股份有限公司惠州分行。</w:t>
      </w:r>
    </w:p>
    <w:p>
      <w:pPr>
        <w:tabs>
          <w:tab w:val="left" w:pos="3388"/>
        </w:tabs>
        <w:spacing w:line="560" w:lineRule="exact"/>
        <w:ind w:firstLine="640" w:firstLineChars="200"/>
        <w:jc w:val="left"/>
        <w:rPr>
          <w:rFonts w:hint="default" w:ascii="Times New Roman" w:hAnsi="Times New Roman" w:cs="Times New Roman"/>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中信银行股份有限公司惠州分行。(备注:中信银行股份有限公司惠州分行本行转</w:t>
      </w:r>
      <w:r>
        <w:rPr>
          <w:rFonts w:hint="eastAsia" w:ascii="仿宋_GB2312" w:hAnsi="仿宋_GB2312" w:eastAsia="仿宋_GB2312" w:cs="仿宋_GB2312"/>
          <w:kern w:val="2"/>
          <w:sz w:val="32"/>
          <w:szCs w:val="32"/>
          <w:lang w:val="en-US" w:eastAsia="zh-CN" w:bidi="ar-SA"/>
        </w:rPr>
        <w:t>账</w:t>
      </w:r>
      <w:r>
        <w:rPr>
          <w:rFonts w:hint="eastAsia" w:ascii="仿宋_GB2312" w:hAnsi="仿宋_GB2312" w:eastAsia="仿宋_GB2312" w:cs="仿宋_GB2312"/>
          <w:sz w:val="32"/>
          <w:szCs w:val="32"/>
        </w:rPr>
        <w:t>须到银行柜面办理)。</w:t>
      </w:r>
    </w:p>
    <w:p>
      <w:pPr>
        <w:tabs>
          <w:tab w:val="left" w:pos="3388"/>
        </w:tabs>
        <w:spacing w:line="560" w:lineRule="exact"/>
        <w:jc w:val="left"/>
        <w:rPr>
          <w:rFonts w:hint="eastAsia"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网上报价及“限地价、</w:t>
      </w:r>
      <w:r>
        <w:rPr>
          <w:rFonts w:hint="eastAsia" w:ascii="仿宋_GB2312" w:hAnsi="仿宋_GB2312" w:eastAsia="仿宋_GB2312" w:cs="仿宋_GB2312"/>
          <w:b/>
          <w:bCs/>
          <w:sz w:val="32"/>
          <w:szCs w:val="32"/>
          <w:lang w:val="en-US" w:eastAsia="zh-CN"/>
        </w:rPr>
        <w:t>摇号</w:t>
      </w:r>
      <w:r>
        <w:rPr>
          <w:rFonts w:hint="eastAsia" w:ascii="仿宋_GB2312" w:hAnsi="仿宋_GB2312" w:eastAsia="仿宋_GB2312" w:cs="仿宋_GB2312"/>
          <w:b/>
          <w:bCs/>
          <w:sz w:val="32"/>
          <w:szCs w:val="32"/>
        </w:rPr>
        <w:t>”规则</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（一）本宗建设用地使用权网上挂牌采取“限地价、</w:t>
      </w:r>
      <w:r>
        <w:rPr>
          <w:rFonts w:hint="eastAsia" w:ascii="仿宋_GB2312" w:hAnsi="仿宋_GB2312" w:eastAsia="仿宋_GB2312" w:cs="仿宋_GB2312"/>
          <w:sz w:val="32"/>
          <w:szCs w:val="32"/>
          <w:lang w:val="en-US" w:eastAsia="zh-CN"/>
        </w:rPr>
        <w:t>摇号</w:t>
      </w:r>
      <w:r>
        <w:rPr>
          <w:rFonts w:hint="eastAsia" w:ascii="仿宋_GB2312" w:hAnsi="仿宋_GB2312" w:eastAsia="仿宋_GB2312" w:cs="仿宋_GB2312"/>
          <w:sz w:val="32"/>
          <w:szCs w:val="32"/>
        </w:rPr>
        <w:t>”出让方式，竞买人以增价方式通过网上挂牌交易系统进行报价，当报价达到最高限价时，交易系统转入</w:t>
      </w:r>
      <w:r>
        <w:rPr>
          <w:rFonts w:hint="eastAsia" w:ascii="仿宋_GB2312" w:hAnsi="仿宋_GB2312" w:eastAsia="仿宋_GB2312" w:cs="仿宋_GB2312"/>
          <w:sz w:val="32"/>
          <w:szCs w:val="32"/>
          <w:lang w:val="en-US" w:eastAsia="zh-CN"/>
        </w:rPr>
        <w:t>采取摇号方式确定</w:t>
      </w:r>
      <w:r>
        <w:rPr>
          <w:rFonts w:hint="eastAsia" w:ascii="仿宋_GB2312" w:hAnsi="仿宋_GB2312" w:eastAsia="仿宋_GB2312" w:cs="仿宋_GB2312"/>
          <w:sz w:val="32"/>
          <w:szCs w:val="32"/>
        </w:rPr>
        <w:t>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（二）每次</w:t>
      </w:r>
      <w:r>
        <w:rPr>
          <w:rFonts w:hint="eastAsia" w:ascii="仿宋_GB2312" w:hAnsi="仿宋_GB2312" w:eastAsia="仿宋_GB2312" w:cs="仿宋_GB2312"/>
          <w:sz w:val="32"/>
          <w:szCs w:val="32"/>
          <w:lang w:val="en-US" w:eastAsia="zh-CN"/>
        </w:rPr>
        <w:t>增价</w:t>
      </w:r>
      <w:r>
        <w:rPr>
          <w:rFonts w:hint="eastAsia" w:ascii="仿宋_GB2312" w:hAnsi="仿宋_GB2312" w:eastAsia="仿宋_GB2312" w:cs="仿宋_GB2312"/>
          <w:sz w:val="32"/>
          <w:szCs w:val="32"/>
        </w:rPr>
        <w:t>幅度</w:t>
      </w:r>
      <w:r>
        <w:rPr>
          <w:rFonts w:hint="eastAsia" w:ascii="仿宋_GB2312" w:hAnsi="仿宋_GB2312" w:eastAsia="仿宋_GB2312" w:cs="仿宋_GB2312"/>
          <w:sz w:val="32"/>
          <w:szCs w:val="32"/>
          <w:lang w:val="en-US" w:eastAsia="zh-CN"/>
        </w:rPr>
        <w:t>应是本须知规定的增价幅度的整数倍</w:t>
      </w:r>
      <w:r>
        <w:rPr>
          <w:rFonts w:hint="eastAsia" w:ascii="仿宋_GB2312" w:hAnsi="仿宋_GB2312" w:eastAsia="仿宋_GB2312" w:cs="仿宋_GB2312"/>
          <w:sz w:val="32"/>
          <w:szCs w:val="32"/>
        </w:rPr>
        <w:t xml:space="preserve">。   </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（三）竞买人可多次报价，首次报价不低于起始价。</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（四）竞买人每次报价应当比当前最高报价至少递增一个增价幅度。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（五）竞买人应当谨慎报价，报价一经提交并经网上挂牌</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系统确认为有效报价</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，不可撤回。</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报价不能高于最高限价</w:t>
      </w:r>
      <w:r>
        <w:rPr>
          <w:rFonts w:hint="eastAsia" w:ascii="仿宋_GB2312" w:hAnsi="仿宋_GB2312" w:eastAsia="仿宋_GB2312" w:cs="仿宋_GB2312"/>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val="en-US" w:eastAsia="zh-CN"/>
        </w:rPr>
        <w:t>不同竞买人均可报最高限价</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限时竞价是指在交易公告规定的电子挂牌交易期限截止时，有2个以上的竞买人报价，且经电子挂牌交易系统询问，5分钟内限时决定是否愿意继续报价,有竞买人愿意继续报价的，电子挂牌交易系统以高于当前最高报价一个增价幅度的价格为起始价，电子挂牌交易系统开始第一次5分钟倒计时限时报价，如在5分钟内的任一时点有新的有效报价，电子挂牌交易系统即从此时点起再顺延5分钟，供竞买人作新一轮报价，并按此方式不断顺延下去,直至5分钟限时报价内没有新的有效报价，电子挂牌交易系统将自动关闭报价通道，确认当前最高报价为最终报价。</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）在土地挂牌交易期限截止时，按照下列规则确定是否成交：</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1、挂牌交易期限截止时无人报价的，挂牌不成交;</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2、挂牌交易期限截止时只有1个竞买人报价，挂牌成交,该报价者为竞得人；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3、在挂牌交易期限内有2个以上的竞买人报价的，按如下规定确定竞得人: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在挂牌交易期限截止时 ,最高报价未达到最高限价,经电子挂牌交易系统询问，无竞买人愿意参加限时竞价的，以当前报价最高者为竞得人；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 在挂牌交易期限截止时 ,最高报价未达到最高限价,经电子挂牌交易系统询问，有竞买人愿意参加限时竞价的，进入限时竞价，限时竞价中最高报价未达到最高限价的, 该最高报价者为竞得人</w:t>
      </w:r>
      <w:r>
        <w:rPr>
          <w:rFonts w:hint="eastAsia" w:ascii="仿宋_GB2312" w:hAnsi="仿宋_GB2312" w:eastAsia="仿宋_GB2312" w:cs="仿宋_GB2312"/>
          <w:sz w:val="32"/>
          <w:szCs w:val="32"/>
          <w:lang w:eastAsia="zh-CN"/>
        </w:rPr>
        <w:t>。</w:t>
      </w:r>
    </w:p>
    <w:p>
      <w:pPr>
        <w:tabs>
          <w:tab w:val="left" w:pos="3388"/>
        </w:tabs>
        <w:spacing w:line="560" w:lineRule="exact"/>
        <w:ind w:firstLine="640"/>
        <w:jc w:val="left"/>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进入限时竞价，限时竞价中</w:t>
      </w:r>
      <w:r>
        <w:rPr>
          <w:rFonts w:hint="eastAsia" w:ascii="仿宋_GB2312" w:hAnsi="仿宋_GB2312" w:eastAsia="仿宋_GB2312" w:cs="仿宋_GB2312"/>
          <w:sz w:val="32"/>
          <w:szCs w:val="32"/>
        </w:rPr>
        <w:t>最高报价达到最高限价</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rPr>
        <w:t>只有</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竞买人报最高限价，该报价者为竞得人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以上竞买人报最高限价，系统将选取报最高限价的竞买号进行摇号，采取摇号的方式在规定的时间内确定竞得人。</w:t>
      </w:r>
    </w:p>
    <w:p>
      <w:pPr>
        <w:tabs>
          <w:tab w:val="left" w:pos="3388"/>
        </w:tabs>
        <w:spacing w:line="560" w:lineRule="exact"/>
        <w:jc w:val="left"/>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十四、系统操作</w:t>
      </w:r>
    </w:p>
    <w:p>
      <w:pPr>
        <w:tabs>
          <w:tab w:val="left" w:pos="3388"/>
        </w:tabs>
        <w:spacing w:line="560" w:lineRule="exact"/>
        <w:ind w:firstLine="640"/>
        <w:jc w:val="left"/>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土地与矿业交易系统竞买人操作视频</w:t>
      </w:r>
      <w:r>
        <w:rPr>
          <w:rFonts w:hint="eastAsia" w:ascii="仿宋_GB2312" w:hAnsi="仿宋_GB2312" w:eastAsia="仿宋_GB2312" w:cs="仿宋_GB2312"/>
          <w:sz w:val="32"/>
          <w:szCs w:val="32"/>
          <w:lang w:val="en-US" w:eastAsia="zh-CN"/>
        </w:rPr>
        <w:t>可在</w:t>
      </w:r>
      <w:r>
        <w:rPr>
          <w:rFonts w:hint="eastAsia" w:ascii="仿宋_GB2312" w:hAnsi="仿宋_GB2312" w:eastAsia="仿宋_GB2312" w:cs="仿宋_GB2312"/>
          <w:sz w:val="32"/>
          <w:szCs w:val="32"/>
        </w:rPr>
        <w:t>本中心网上挂牌交易系</w:t>
      </w:r>
      <w:r>
        <w:rPr>
          <w:rFonts w:hint="eastAsia" w:ascii="仿宋_GB2312" w:hAnsi="仿宋_GB2312" w:eastAsia="仿宋_GB2312" w:cs="仿宋_GB2312"/>
          <w:sz w:val="32"/>
          <w:szCs w:val="32"/>
          <w:lang w:val="en-US" w:eastAsia="zh-CN"/>
        </w:rPr>
        <w:t>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下载。</w:t>
      </w:r>
      <w:bookmarkStart w:id="6" w:name="106"/>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highlight w:val="none"/>
        </w:rPr>
        <w:t>（一）公布网上挂牌信息</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我中心将有关宗地的位置、面积、用途、使用年期、规划要求、起始价、增价规则及增价幅度等予以公布。</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有意竞买者可登陆惠州市公共资源交易中心土地与矿业网上挂牌交易系统网站(</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)查询。</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（二）申请竞买</w:t>
      </w:r>
    </w:p>
    <w:p>
      <w:pP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办理好数字证书的申请人决定参加本宗地网上挂牌竞买的，应按网上挂牌交易系统要求填写真实有效的申请人身份</w:t>
      </w:r>
      <w:r>
        <w:rPr>
          <w:rFonts w:hint="eastAsia" w:ascii="仿宋_GB2312" w:hAnsi="仿宋_GB2312" w:eastAsia="仿宋_GB2312" w:cs="仿宋_GB2312"/>
          <w:color w:val="auto"/>
          <w:sz w:val="32"/>
          <w:szCs w:val="32"/>
          <w:highlight w:val="none"/>
          <w:lang w:val="en-US" w:eastAsia="zh-CN"/>
        </w:rPr>
        <w:t>等信息</w:t>
      </w:r>
      <w:r>
        <w:rPr>
          <w:rFonts w:hint="eastAsia" w:ascii="仿宋_GB2312" w:hAnsi="仿宋_GB2312" w:eastAsia="仿宋_GB2312" w:cs="仿宋_GB2312"/>
          <w:color w:val="auto"/>
          <w:sz w:val="32"/>
          <w:szCs w:val="32"/>
          <w:highlight w:val="none"/>
        </w:rPr>
        <w:t>并向网上挂牌交易系统提交</w:t>
      </w:r>
      <w:r>
        <w:rPr>
          <w:rFonts w:hint="eastAsia" w:ascii="仿宋_GB2312" w:hAnsi="仿宋_GB2312" w:eastAsia="仿宋_GB2312" w:cs="仿宋_GB2312"/>
          <w:color w:val="auto"/>
          <w:sz w:val="32"/>
          <w:szCs w:val="32"/>
          <w:highlight w:val="none"/>
          <w:lang w:val="en-US" w:eastAsia="zh-CN"/>
        </w:rPr>
        <w:t>竞买</w:t>
      </w:r>
      <w:r>
        <w:rPr>
          <w:rFonts w:hint="eastAsia" w:ascii="仿宋_GB2312" w:hAnsi="仿宋_GB2312" w:eastAsia="仿宋_GB2312" w:cs="仿宋_GB2312"/>
          <w:color w:val="auto"/>
          <w:sz w:val="32"/>
          <w:szCs w:val="32"/>
          <w:highlight w:val="none"/>
        </w:rPr>
        <w:t>申请。企业对本宗地进行联合竞买的，应当按要求如实填写联合竞买各方的相关信息和出资比例。</w:t>
      </w:r>
    </w:p>
    <w:p>
      <w:pPr>
        <w:tabs>
          <w:tab w:val="left" w:pos="3388"/>
        </w:tabs>
        <w:spacing w:line="560" w:lineRule="exact"/>
        <w:ind w:firstLine="480" w:firstLineChars="1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（三）交纳保证金</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 xml:space="preserve">权限。 </w:t>
      </w:r>
    </w:p>
    <w:p>
      <w:pPr>
        <w:tabs>
          <w:tab w:val="left" w:pos="3388"/>
        </w:tabs>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（四）网上挂牌报价</w:t>
      </w:r>
      <w:r>
        <w:rPr>
          <w:rFonts w:hint="eastAsia" w:ascii="仿宋_GB2312" w:hAnsi="仿宋_GB2312" w:eastAsia="仿宋_GB2312" w:cs="仿宋_GB2312"/>
          <w:sz w:val="32"/>
          <w:szCs w:val="32"/>
          <w:highlight w:val="none"/>
          <w:lang w:val="en-US" w:eastAsia="zh-CN"/>
        </w:rPr>
        <w:t>及摇号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1、网上挂牌交易从网上挂牌起始时间起开始接受报价。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3、网上挂牌交易系统对符合规定的报价予以确认，并更新显示当前报价。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4、网上挂牌交易系统继续接受新的报价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当地块竞价至最高限价时，转入摇号环节</w:t>
      </w:r>
      <w:r>
        <w:rPr>
          <w:rFonts w:hint="eastAsia" w:ascii="仿宋_GB2312" w:hAnsi="仿宋_GB2312" w:eastAsia="仿宋_GB2312" w:cs="仿宋_GB2312"/>
          <w:sz w:val="32"/>
          <w:szCs w:val="32"/>
          <w:highlight w:val="none"/>
        </w:rPr>
        <w:t>。</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5、网上挂牌报价</w:t>
      </w:r>
      <w:r>
        <w:rPr>
          <w:rFonts w:hint="eastAsia" w:ascii="仿宋_GB2312" w:hAnsi="仿宋_GB2312" w:eastAsia="仿宋_GB2312" w:cs="仿宋_GB2312"/>
          <w:sz w:val="32"/>
          <w:szCs w:val="32"/>
          <w:highlight w:val="none"/>
          <w:lang w:val="en-US" w:eastAsia="zh-CN"/>
        </w:rPr>
        <w:t>及“限地价、摇号”</w:t>
      </w:r>
      <w:r>
        <w:rPr>
          <w:rFonts w:hint="eastAsia" w:ascii="仿宋_GB2312" w:hAnsi="仿宋_GB2312" w:eastAsia="仿宋_GB2312" w:cs="仿宋_GB2312"/>
          <w:sz w:val="32"/>
          <w:szCs w:val="32"/>
          <w:highlight w:val="none"/>
        </w:rPr>
        <w:t>规则见</w:t>
      </w:r>
      <w:r>
        <w:rPr>
          <w:rFonts w:hint="eastAsia" w:ascii="仿宋_GB2312" w:hAnsi="仿宋_GB2312" w:eastAsia="仿宋_GB2312" w:cs="仿宋_GB2312"/>
          <w:sz w:val="32"/>
          <w:szCs w:val="32"/>
          <w:highlight w:val="none"/>
          <w:lang w:val="en-US" w:eastAsia="zh-CN"/>
        </w:rPr>
        <w:t>本</w:t>
      </w:r>
      <w:r>
        <w:rPr>
          <w:rFonts w:hint="eastAsia" w:ascii="仿宋_GB2312" w:hAnsi="仿宋_GB2312" w:eastAsia="仿宋_GB2312" w:cs="仿宋_GB2312"/>
          <w:sz w:val="32"/>
          <w:szCs w:val="32"/>
          <w:highlight w:val="none"/>
        </w:rPr>
        <w:t>《须知》第十三条。</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）资格审查和签订《成交确认书》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《竞买保证金到账通知书》并盖章。</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rPr>
        <w:t xml:space="preserve"> 2、竞</w:t>
      </w:r>
      <w:r>
        <w:rPr>
          <w:rFonts w:hint="eastAsia" w:ascii="仿宋_GB2312" w:hAnsi="仿宋_GB2312" w:eastAsia="仿宋_GB2312" w:cs="仿宋_GB2312"/>
          <w:sz w:val="32"/>
          <w:szCs w:val="32"/>
          <w:highlight w:val="none"/>
          <w:lang w:val="en-US" w:eastAsia="zh-CN"/>
        </w:rPr>
        <w:t>得</w:t>
      </w:r>
      <w:r>
        <w:rPr>
          <w:rFonts w:hint="eastAsia" w:ascii="仿宋_GB2312" w:hAnsi="仿宋_GB2312" w:eastAsia="仿宋_GB2312" w:cs="仿宋_GB2312"/>
          <w:sz w:val="32"/>
          <w:szCs w:val="32"/>
          <w:highlight w:val="none"/>
        </w:rPr>
        <w:t>人应当在网上挂牌交易结果公布</w:t>
      </w:r>
      <w:r>
        <w:rPr>
          <w:rFonts w:hint="eastAsia" w:ascii="仿宋_GB2312" w:hAnsi="仿宋_GB2312" w:eastAsia="仿宋_GB2312" w:cs="仿宋_GB2312"/>
          <w:sz w:val="32"/>
          <w:szCs w:val="32"/>
          <w:highlight w:val="none"/>
          <w:lang w:val="en-US" w:eastAsia="zh-CN"/>
        </w:rPr>
        <w:t>之日起5</w:t>
      </w:r>
      <w:r>
        <w:rPr>
          <w:rFonts w:hint="eastAsia" w:ascii="仿宋_GB2312" w:hAnsi="仿宋_GB2312" w:eastAsia="仿宋_GB2312" w:cs="仿宋_GB2312"/>
          <w:sz w:val="32"/>
          <w:szCs w:val="32"/>
          <w:highlight w:val="none"/>
        </w:rPr>
        <w:t>个工作</w:t>
      </w:r>
      <w:r>
        <w:rPr>
          <w:rFonts w:hint="eastAsia" w:ascii="仿宋_GB2312" w:hAnsi="仿宋_GB2312" w:eastAsia="仿宋_GB2312" w:cs="仿宋_GB2312"/>
          <w:color w:val="auto"/>
          <w:sz w:val="32"/>
          <w:szCs w:val="32"/>
          <w:highlight w:val="none"/>
        </w:rPr>
        <w:t>日内持公司公章及下列有关纸质材料到本中心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由委托方进行资格审查，符合竞买资格的，竞得人应当</w:t>
      </w:r>
      <w:r>
        <w:rPr>
          <w:rFonts w:hint="eastAsia" w:ascii="仿宋_GB2312" w:hAnsi="仿宋_GB2312" w:eastAsia="仿宋_GB2312" w:cs="仿宋_GB2312"/>
          <w:color w:val="auto"/>
          <w:sz w:val="32"/>
          <w:szCs w:val="32"/>
          <w:highlight w:val="none"/>
        </w:rPr>
        <w:t>在网上挂牌交易结果公布</w:t>
      </w:r>
      <w:r>
        <w:rPr>
          <w:rFonts w:hint="eastAsia" w:ascii="仿宋_GB2312" w:hAnsi="仿宋_GB2312" w:eastAsia="仿宋_GB2312" w:cs="仿宋_GB2312"/>
          <w:color w:val="auto"/>
          <w:sz w:val="32"/>
          <w:szCs w:val="32"/>
          <w:highlight w:val="none"/>
          <w:lang w:val="en-US" w:eastAsia="zh-CN"/>
        </w:rPr>
        <w:t>之日起5</w:t>
      </w:r>
      <w:r>
        <w:rPr>
          <w:rFonts w:hint="eastAsia" w:ascii="仿宋_GB2312" w:hAnsi="仿宋_GB2312" w:eastAsia="仿宋_GB2312" w:cs="仿宋_GB2312"/>
          <w:color w:val="auto"/>
          <w:sz w:val="32"/>
          <w:szCs w:val="32"/>
          <w:highlight w:val="none"/>
        </w:rPr>
        <w:t>个工作日内</w:t>
      </w:r>
      <w:r>
        <w:rPr>
          <w:rFonts w:hint="eastAsia" w:ascii="仿宋_GB2312" w:hAnsi="仿宋_GB2312" w:eastAsia="仿宋_GB2312" w:cs="仿宋_GB2312"/>
          <w:color w:val="auto"/>
          <w:sz w:val="32"/>
          <w:szCs w:val="32"/>
          <w:highlight w:val="none"/>
          <w:lang w:val="en-US" w:eastAsia="zh-CN"/>
        </w:rPr>
        <w:t>签订</w:t>
      </w:r>
      <w:r>
        <w:rPr>
          <w:rFonts w:hint="eastAsia" w:ascii="仿宋_GB2312" w:hAnsi="仿宋_GB2312" w:eastAsia="仿宋_GB2312" w:cs="仿宋_GB2312"/>
          <w:color w:val="auto"/>
          <w:sz w:val="32"/>
          <w:szCs w:val="32"/>
          <w:highlight w:val="none"/>
        </w:rPr>
        <w:t>《成交确认书》</w:t>
      </w:r>
      <w:r>
        <w:rPr>
          <w:rFonts w:hint="eastAsia" w:ascii="仿宋_GB2312" w:hAnsi="仿宋_GB2312" w:eastAsia="仿宋_GB2312" w:cs="仿宋_GB2312"/>
          <w:color w:val="auto"/>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（1）《竞买申请书》（加盖公章）。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（2）《竞价结果通知书》（加盖公章）。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（3）《竞买保证金到账通知书》（加盖公章）。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（4）转</w:t>
      </w:r>
      <w:r>
        <w:rPr>
          <w:rFonts w:hint="eastAsia" w:ascii="仿宋_GB2312" w:hAnsi="仿宋_GB2312" w:eastAsia="仿宋_GB2312" w:cs="仿宋_GB2312"/>
          <w:sz w:val="32"/>
          <w:szCs w:val="32"/>
          <w:highlight w:val="none"/>
          <w:lang w:eastAsia="zh-CN"/>
        </w:rPr>
        <w:t>账</w:t>
      </w:r>
      <w:r>
        <w:rPr>
          <w:rFonts w:hint="eastAsia" w:ascii="仿宋_GB2312" w:hAnsi="仿宋_GB2312" w:eastAsia="仿宋_GB2312" w:cs="仿宋_GB2312"/>
          <w:sz w:val="32"/>
          <w:szCs w:val="32"/>
          <w:highlight w:val="none"/>
        </w:rPr>
        <w:t>凭证复印件（加盖公章）</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（5）申请竞买人有效的《营业执照》复印件（加盖公章）（二份）。</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（6）法定代表人身份证复印件（加盖公章）（二份</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）授权他人代理的授权委托书及代理人身份证复印件（核对原件）。</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）联合竞买协议（联合竞买的提供）。</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竞买</w:t>
      </w:r>
      <w:r>
        <w:rPr>
          <w:rFonts w:hint="eastAsia" w:ascii="仿宋_GB2312" w:hAnsi="仿宋_GB2312" w:eastAsia="仿宋_GB2312" w:cs="仿宋_GB2312"/>
          <w:sz w:val="32"/>
          <w:szCs w:val="32"/>
          <w:highlight w:val="none"/>
        </w:rPr>
        <w:t>人及其控股股东</w:t>
      </w:r>
      <w:r>
        <w:rPr>
          <w:rFonts w:hint="eastAsia" w:ascii="仿宋_GB2312" w:hAnsi="仿宋_GB2312" w:eastAsia="仿宋_GB2312" w:cs="仿宋_GB2312"/>
          <w:sz w:val="32"/>
          <w:szCs w:val="32"/>
          <w:highlight w:val="none"/>
          <w:lang w:val="en-US" w:eastAsia="zh-CN"/>
        </w:rPr>
        <w:t>不</w:t>
      </w:r>
      <w:r>
        <w:rPr>
          <w:rFonts w:hint="eastAsia" w:ascii="仿宋_GB2312" w:hAnsi="仿宋_GB2312" w:eastAsia="仿宋_GB2312" w:cs="仿宋_GB2312"/>
          <w:sz w:val="32"/>
          <w:szCs w:val="32"/>
          <w:highlight w:val="none"/>
        </w:rPr>
        <w:t>存在违法、违规、违约行为的</w:t>
      </w:r>
      <w:r>
        <w:rPr>
          <w:rFonts w:hint="eastAsia" w:ascii="仿宋_GB2312" w:hAnsi="仿宋_GB2312" w:eastAsia="仿宋_GB2312" w:cs="仿宋_GB2312"/>
          <w:sz w:val="32"/>
          <w:szCs w:val="32"/>
          <w:highlight w:val="none"/>
          <w:lang w:val="en-US" w:eastAsia="zh-CN"/>
        </w:rPr>
        <w:t>承诺书</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房地产开发资质材料</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购地资金来源相应证明及承诺书。</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上述第（</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）项材料须使用本中心标准样本，可在本系统的“挂牌文件”中下载。</w:t>
      </w:r>
    </w:p>
    <w:p>
      <w:pPr>
        <w:tabs>
          <w:tab w:val="left" w:pos="3388"/>
        </w:tabs>
        <w:spacing w:line="56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境外竞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人按照上述规定提交的有关竞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人身份证明及其他相关文件，应按规定由中华人民共和国驻该国、该地区大使馆或领事馆公证或认证；香港竞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人身份证明及其他相关文件应由中华人民共和国司法部授权的香港律师公证人公证并由中国法律服务（香港）有限公司加盖转递章；澳门竞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人身份证明及其他相关文件应由中华人民共和国司法部授权的澳门律师公证人公证；台湾竞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人身份证明及其他相关文件应由台湾公证人公证并存广东省公证协会副本备案。</w:t>
      </w:r>
    </w:p>
    <w:p>
      <w:pPr>
        <w:tabs>
          <w:tab w:val="left" w:pos="3388"/>
        </w:tabs>
        <w:spacing w:line="56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人如需保存上述竞买报名资料应自留备份，本中心不予退还。</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联合竞买协议要约定联合各方的权利和义务。必须明确表达参与联合竞买的各方、参与竞买的代表人、联合各方的出资比例和签订《出让合同》时的受让人。</w:t>
      </w:r>
    </w:p>
    <w:p>
      <w:pPr>
        <w:pStyle w:val="2"/>
        <w:rPr>
          <w:rFonts w:hint="default" w:ascii="Times New Roman"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kern w:val="2"/>
          <w:sz w:val="32"/>
          <w:szCs w:val="32"/>
          <w:highlight w:val="none"/>
          <w:lang w:val="en-US" w:eastAsia="zh-CN" w:bidi="ar-SA"/>
        </w:rPr>
        <w:t>3、未</w:t>
      </w:r>
      <w:r>
        <w:rPr>
          <w:rFonts w:hint="eastAsia" w:ascii="仿宋_GB2312" w:hAnsi="仿宋_GB2312" w:eastAsia="仿宋_GB2312" w:cs="仿宋_GB2312"/>
          <w:color w:val="auto"/>
          <w:kern w:val="2"/>
          <w:sz w:val="32"/>
          <w:szCs w:val="32"/>
          <w:highlight w:val="none"/>
          <w:lang w:val="en-US" w:eastAsia="zh-CN" w:bidi="ar-SA"/>
        </w:rPr>
        <w:t>竞得人应当在网上挂牌交易结果公布之日起2个工作日内向委托方提交房地产开发资质材料、购地资金来源</w:t>
      </w:r>
      <w:r>
        <w:rPr>
          <w:rFonts w:hint="eastAsia" w:ascii="仿宋_GB2312" w:hAnsi="仿宋_GB2312" w:eastAsia="仿宋_GB2312" w:cs="仿宋_GB2312"/>
          <w:sz w:val="32"/>
          <w:szCs w:val="32"/>
          <w:highlight w:val="none"/>
          <w:lang w:val="en-US" w:eastAsia="zh-CN"/>
        </w:rPr>
        <w:t>相应证明及</w:t>
      </w:r>
      <w:r>
        <w:rPr>
          <w:rFonts w:hint="eastAsia" w:ascii="仿宋_GB2312" w:hAnsi="仿宋_GB2312" w:eastAsia="仿宋_GB2312" w:cs="仿宋_GB2312"/>
          <w:color w:val="auto"/>
          <w:kern w:val="2"/>
          <w:sz w:val="32"/>
          <w:szCs w:val="32"/>
          <w:highlight w:val="none"/>
          <w:lang w:val="en-US" w:eastAsia="zh-CN" w:bidi="ar-SA"/>
        </w:rPr>
        <w:t>承诺书有关纸质材料，由委托方进行审查。</w:t>
      </w:r>
    </w:p>
    <w:p>
      <w:pPr>
        <w:tabs>
          <w:tab w:val="left" w:pos="3388"/>
        </w:tabs>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rPr>
        <w:t>上述文件中，申请书必须用中文书写，其他文件可以使用</w:t>
      </w:r>
      <w:r>
        <w:rPr>
          <w:rFonts w:hint="eastAsia" w:ascii="仿宋_GB2312" w:hAnsi="仿宋_GB2312" w:eastAsia="仿宋_GB2312" w:cs="仿宋_GB2312"/>
          <w:b/>
          <w:bCs/>
          <w:color w:val="auto"/>
          <w:sz w:val="32"/>
          <w:szCs w:val="32"/>
        </w:rPr>
        <w:t>其它语言，但必须附中文译本，所有文件的解释以中文译本为准。</w:t>
      </w:r>
    </w:p>
    <w:p>
      <w:pPr>
        <w:tabs>
          <w:tab w:val="left" w:pos="3388"/>
        </w:tabs>
        <w:spacing w:line="560" w:lineRule="exact"/>
        <w:jc w:val="left"/>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）网上挂牌出让结果公示</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tabs>
          <w:tab w:val="left" w:pos="3388"/>
        </w:tabs>
        <w:spacing w:line="560" w:lineRule="exact"/>
        <w:jc w:val="left"/>
        <w:rPr>
          <w:rFonts w:hint="eastAsia"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在本宗地竞买申请之前，申请人须详细阅读本次《网上挂牌出让公告》、《惠州市国有建设用地使用权网上挂牌出让须知》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本次国有建设用地使用权网上挂牌竞价达到</w:t>
      </w:r>
      <w:r>
        <w:rPr>
          <w:rFonts w:hint="eastAsia" w:ascii="仿宋_GB2312" w:hAnsi="仿宋_GB2312" w:eastAsia="仿宋_GB2312" w:cs="仿宋_GB2312"/>
          <w:color w:val="000000"/>
          <w:sz w:val="28"/>
          <w:szCs w:val="28"/>
          <w:lang w:val="en-US" w:eastAsia="zh-CN"/>
        </w:rPr>
        <w:t>72772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转为采</w:t>
      </w:r>
      <w:r>
        <w:rPr>
          <w:rFonts w:hint="eastAsia" w:ascii="仿宋_GB2312" w:hAnsi="仿宋_GB2312" w:eastAsia="仿宋_GB2312" w:cs="仿宋_GB2312"/>
          <w:sz w:val="32"/>
          <w:szCs w:val="32"/>
          <w:highlight w:val="none"/>
          <w:lang w:val="en-US" w:eastAsia="zh-CN"/>
        </w:rPr>
        <w:t>取</w:t>
      </w:r>
      <w:r>
        <w:rPr>
          <w:rFonts w:hint="eastAsia" w:ascii="仿宋_GB2312" w:hAnsi="仿宋_GB2312" w:eastAsia="仿宋_GB2312" w:cs="仿宋_GB2312"/>
          <w:sz w:val="32"/>
          <w:szCs w:val="32"/>
          <w:highlight w:val="none"/>
        </w:rPr>
        <w:t>摇号方式确定竞得人。</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2"/>
          <w:sz w:val="3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w:t>
      </w:r>
      <w:r>
        <w:rPr>
          <w:rFonts w:hint="eastAsia" w:ascii="Times New Roman" w:hAnsi="Times New Roman" w:eastAsia="仿宋_GB2312" w:cs="Times New Roman"/>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rPr>
        <w:t>国有建设用地使用权出让合同</w:t>
      </w:r>
      <w:r>
        <w:rPr>
          <w:rFonts w:hint="eastAsia" w:ascii="Times New Roman" w:hAnsi="Times New Roman" w:eastAsia="仿宋_GB2312" w:cs="Times New Roman"/>
          <w:color w:val="auto"/>
          <w:kern w:val="2"/>
          <w:sz w:val="32"/>
          <w:szCs w:val="32"/>
          <w:highlight w:val="none"/>
          <w:lang w:eastAsia="zh-CN"/>
        </w:rPr>
        <w:t>补充条款</w:t>
      </w:r>
      <w:r>
        <w:rPr>
          <w:rFonts w:hint="default" w:ascii="Times New Roman" w:hAnsi="Times New Roman" w:eastAsia="仿宋_GB2312" w:cs="Times New Roman"/>
          <w:color w:val="auto"/>
          <w:kern w:val="2"/>
          <w:sz w:val="32"/>
          <w:szCs w:val="32"/>
          <w:highlight w:val="none"/>
        </w:rPr>
        <w:t>》</w:t>
      </w:r>
      <w:r>
        <w:rPr>
          <w:rFonts w:hint="eastAsia" w:ascii="仿宋_GB2312" w:hAnsi="仿宋_GB2312" w:eastAsia="仿宋_GB2312" w:cs="仿宋_GB2312"/>
          <w:kern w:val="2"/>
          <w:sz w:val="32"/>
          <w:szCs w:val="32"/>
        </w:rPr>
        <w:t>；也可按约定直接与新公司签订《出让合同》</w:t>
      </w:r>
      <w:r>
        <w:rPr>
          <w:rFonts w:hint="eastAsia" w:ascii="仿宋_GB2312" w:hAnsi="仿宋_GB2312" w:eastAsia="仿宋_GB2312" w:cs="仿宋_GB2312"/>
          <w:sz w:val="32"/>
          <w:szCs w:val="32"/>
          <w:highlight w:val="none"/>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widowControl w:val="0"/>
        <w:spacing w:before="0" w:line="560" w:lineRule="exact"/>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竞买申请单位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单位要说明购地资金来源，网上挂牌交易结束后提交相应证明并对上述要求作出承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对于经审查资金来源不符合要求的，根据情况采取取消参与资格竞买、取消竞得资格、解除土地出让合同或收回已出让土地等措施，竞买保证金不予返还，一年内不得在惠州市参加土地竞买。</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）确定竞得人后，竞得人持《</w:t>
      </w:r>
      <w:r>
        <w:rPr>
          <w:rFonts w:hint="eastAsia" w:ascii="仿宋_GB2312" w:hAnsi="仿宋_GB2312" w:eastAsia="仿宋_GB2312" w:cs="仿宋_GB2312"/>
          <w:sz w:val="32"/>
          <w:szCs w:val="32"/>
          <w:highlight w:val="none"/>
          <w:lang w:val="en-US" w:eastAsia="zh-CN"/>
        </w:rPr>
        <w:t>竞价结果</w:t>
      </w:r>
      <w:r>
        <w:rPr>
          <w:rFonts w:hint="eastAsia" w:ascii="仿宋_GB2312" w:hAnsi="仿宋_GB2312" w:eastAsia="仿宋_GB2312" w:cs="仿宋_GB2312"/>
          <w:sz w:val="32"/>
          <w:szCs w:val="32"/>
          <w:highlight w:val="none"/>
        </w:rPr>
        <w:t>通知书》以及参加本宗地网上挂牌交易的所须资料到惠州市公共资源交易中心土地矿业交易部申办相关成交确认手续。</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竞价结果</w:t>
      </w:r>
      <w:r>
        <w:rPr>
          <w:rFonts w:hint="eastAsia" w:ascii="仿宋_GB2312" w:hAnsi="仿宋_GB2312" w:eastAsia="仿宋_GB2312" w:cs="仿宋_GB2312"/>
          <w:sz w:val="32"/>
          <w:szCs w:val="32"/>
          <w:highlight w:val="none"/>
        </w:rPr>
        <w:t>通知书》对挂牌人和竞得人具有法律效力，挂牌人改变网上挂牌结果的，或者竞得人放弃竞得宗地的，应当承担相应法律责任。</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网上挂牌系统确定成交后，竞得人缴纳的竞买保证金按</w:t>
      </w:r>
      <w:r>
        <w:rPr>
          <w:rFonts w:hint="eastAsia" w:ascii="仿宋_GB2312" w:hAnsi="仿宋_GB2312" w:eastAsia="仿宋_GB2312" w:cs="仿宋_GB2312"/>
          <w:sz w:val="32"/>
          <w:szCs w:val="32"/>
          <w:highlight w:val="none"/>
          <w:lang w:val="en-US" w:eastAsia="zh-CN"/>
        </w:rPr>
        <w:t>成交价的10%转作</w:t>
      </w:r>
      <w:r>
        <w:rPr>
          <w:rFonts w:hint="eastAsia" w:ascii="仿宋_GB2312" w:hAnsi="仿宋_GB2312" w:eastAsia="仿宋_GB2312" w:cs="仿宋_GB2312"/>
          <w:sz w:val="32"/>
          <w:szCs w:val="32"/>
          <w:highlight w:val="none"/>
        </w:rPr>
        <w:t>定金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lang w:eastAsia="zh-CN"/>
        </w:rPr>
        <w:t>竞买保证金</w:t>
      </w:r>
      <w:r>
        <w:rPr>
          <w:rFonts w:hint="eastAsia" w:ascii="仿宋_GB2312" w:hAnsi="仿宋_GB2312" w:eastAsia="仿宋_GB2312" w:cs="仿宋_GB2312"/>
          <w:sz w:val="32"/>
          <w:szCs w:val="32"/>
          <w:highlight w:val="none"/>
          <w:lang w:val="en-US" w:eastAsia="zh-CN"/>
        </w:rPr>
        <w:t>不足以缴纳定金，</w:t>
      </w:r>
      <w:r>
        <w:rPr>
          <w:rFonts w:hint="eastAsia" w:ascii="仿宋_GB2312" w:hAnsi="仿宋_GB2312" w:eastAsia="仿宋_GB2312" w:cs="仿宋_GB2312"/>
          <w:sz w:val="32"/>
          <w:szCs w:val="32"/>
          <w:highlight w:val="none"/>
        </w:rPr>
        <w:t>不足部分在交易系统确定成交之日起5个工作日内补齐</w:t>
      </w:r>
      <w:r>
        <w:rPr>
          <w:rFonts w:hint="eastAsia" w:ascii="仿宋_GB2312" w:hAnsi="仿宋_GB2312" w:eastAsia="仿宋_GB2312" w:cs="仿宋_GB2312"/>
          <w:sz w:val="32"/>
          <w:szCs w:val="32"/>
          <w:highlight w:val="none"/>
          <w:lang w:eastAsia="zh-CN"/>
        </w:rPr>
        <w:t>；如竞买保证金转作定金</w:t>
      </w:r>
      <w:r>
        <w:rPr>
          <w:rFonts w:hint="eastAsia" w:ascii="仿宋_GB2312" w:hAnsi="仿宋_GB2312" w:eastAsia="仿宋_GB2312" w:cs="仿宋_GB2312"/>
          <w:sz w:val="32"/>
          <w:szCs w:val="32"/>
          <w:highlight w:val="none"/>
          <w:lang w:val="en-US" w:eastAsia="zh-CN"/>
        </w:rPr>
        <w:t>后有剩余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余额抵作</w:t>
      </w:r>
      <w:r>
        <w:rPr>
          <w:rFonts w:hint="eastAsia" w:ascii="仿宋_GB2312" w:hAnsi="仿宋_GB2312" w:eastAsia="仿宋_GB2312" w:cs="仿宋_GB2312"/>
          <w:sz w:val="32"/>
          <w:szCs w:val="32"/>
          <w:highlight w:val="none"/>
          <w:lang w:val="en-US" w:eastAsia="zh-CN"/>
        </w:rPr>
        <w:t>土地</w:t>
      </w:r>
      <w:r>
        <w:rPr>
          <w:rFonts w:hint="eastAsia" w:ascii="仿宋_GB2312" w:hAnsi="仿宋_GB2312" w:eastAsia="仿宋_GB2312" w:cs="仿宋_GB2312"/>
          <w:sz w:val="32"/>
          <w:szCs w:val="32"/>
          <w:highlight w:val="none"/>
        </w:rPr>
        <w:t>成交价</w:t>
      </w:r>
      <w:r>
        <w:rPr>
          <w:rFonts w:hint="eastAsia" w:ascii="仿宋_GB2312" w:hAnsi="仿宋_GB2312" w:eastAsia="仿宋_GB2312" w:cs="仿宋_GB2312"/>
          <w:sz w:val="32"/>
          <w:szCs w:val="32"/>
          <w:highlight w:val="none"/>
          <w:lang w:val="en-US" w:eastAsia="zh-CN"/>
        </w:rPr>
        <w:t>的预付</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以外币缴交竞买保证金的，扣除定金后余额</w:t>
      </w:r>
      <w:r>
        <w:rPr>
          <w:rFonts w:hint="eastAsia" w:ascii="仿宋_GB2312" w:hAnsi="仿宋_GB2312" w:eastAsia="仿宋_GB2312" w:cs="仿宋_GB2312"/>
          <w:sz w:val="32"/>
          <w:szCs w:val="32"/>
          <w:highlight w:val="none"/>
          <w:lang w:val="en-US" w:eastAsia="zh-CN"/>
        </w:rPr>
        <w:t>部分返回给竞得人</w:t>
      </w:r>
      <w:r>
        <w:rPr>
          <w:rFonts w:hint="eastAsia" w:ascii="仿宋_GB2312" w:hAnsi="仿宋_GB2312" w:eastAsia="仿宋_GB2312" w:cs="仿宋_GB2312"/>
          <w:sz w:val="32"/>
          <w:szCs w:val="32"/>
          <w:highlight w:val="none"/>
        </w:rPr>
        <w:t>，待竞得人按时缴清成交价款后，再将定金退</w:t>
      </w:r>
      <w:r>
        <w:rPr>
          <w:rFonts w:hint="eastAsia" w:ascii="仿宋_GB2312" w:hAnsi="仿宋_GB2312" w:eastAsia="仿宋_GB2312" w:cs="仿宋_GB2312"/>
          <w:sz w:val="32"/>
          <w:szCs w:val="32"/>
          <w:highlight w:val="none"/>
          <w:lang w:val="en-US" w:eastAsia="zh-CN"/>
        </w:rPr>
        <w:t>还</w:t>
      </w:r>
      <w:r>
        <w:rPr>
          <w:rFonts w:hint="eastAsia" w:ascii="仿宋_GB2312" w:hAnsi="仿宋_GB2312" w:eastAsia="仿宋_GB2312" w:cs="仿宋_GB2312"/>
          <w:sz w:val="32"/>
          <w:szCs w:val="32"/>
          <w:highlight w:val="none"/>
        </w:rPr>
        <w:t>，不计利息。</w:t>
      </w:r>
    </w:p>
    <w:p>
      <w:pPr>
        <w:tabs>
          <w:tab w:val="left" w:pos="3388"/>
        </w:tabs>
        <w:spacing w:line="56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auto"/>
          <w:sz w:val="32"/>
          <w:szCs w:val="32"/>
          <w:highlight w:val="none"/>
        </w:rPr>
        <w:t>未竞得人缴纳的竞买保证金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以人民币缴纳的竞买保证金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rPr>
        <w:t>于电子挂牌交易活动结束</w:t>
      </w:r>
      <w:r>
        <w:rPr>
          <w:rFonts w:hint="eastAsia" w:ascii="仿宋_GB2312" w:hAnsi="仿宋_GB2312" w:eastAsia="仿宋_GB2312" w:cs="仿宋_GB2312"/>
          <w:color w:val="auto"/>
          <w:sz w:val="32"/>
          <w:szCs w:val="32"/>
          <w:highlight w:val="none"/>
          <w:lang w:val="en-US" w:eastAsia="zh-CN"/>
        </w:rPr>
        <w:t>之日起</w:t>
      </w:r>
      <w:r>
        <w:rPr>
          <w:rFonts w:hint="eastAsia" w:ascii="仿宋_GB2312" w:hAnsi="仿宋_GB2312" w:eastAsia="仿宋_GB2312" w:cs="仿宋_GB2312"/>
          <w:color w:val="auto"/>
          <w:sz w:val="32"/>
          <w:szCs w:val="32"/>
          <w:highlight w:val="none"/>
        </w:rPr>
        <w:t>5个工作日内</w:t>
      </w:r>
      <w:r>
        <w:rPr>
          <w:rFonts w:hint="eastAsia" w:ascii="仿宋_GB2312" w:hAnsi="仿宋_GB2312" w:eastAsia="仿宋_GB2312" w:cs="仿宋_GB2312"/>
          <w:color w:val="auto"/>
          <w:sz w:val="32"/>
          <w:szCs w:val="32"/>
          <w:highlight w:val="none"/>
          <w:lang w:val="en-US" w:eastAsia="zh-CN"/>
        </w:rPr>
        <w:t>通过网上退还的形式原路退还保证金</w:t>
      </w:r>
      <w:r>
        <w:rPr>
          <w:rFonts w:hint="eastAsia" w:ascii="仿宋_GB2312" w:hAnsi="仿宋_GB2312" w:eastAsia="仿宋_GB2312" w:cs="仿宋_GB2312"/>
          <w:color w:val="auto"/>
          <w:sz w:val="32"/>
          <w:szCs w:val="32"/>
          <w:highlight w:val="none"/>
        </w:rPr>
        <w:t>，不计利息</w:t>
      </w:r>
      <w:r>
        <w:rPr>
          <w:rFonts w:hint="eastAsia" w:ascii="仿宋_GB2312" w:hAnsi="仿宋_GB2312" w:eastAsia="仿宋_GB2312" w:cs="仿宋_GB2312"/>
          <w:color w:val="auto"/>
          <w:sz w:val="32"/>
          <w:szCs w:val="32"/>
          <w:highlight w:val="none"/>
          <w:lang w:val="en-US" w:eastAsia="zh-CN"/>
        </w:rPr>
        <w:t>。未竞得人以外币缴纳</w:t>
      </w:r>
      <w:r>
        <w:rPr>
          <w:rFonts w:hint="eastAsia" w:ascii="仿宋_GB2312" w:hAnsi="仿宋_GB2312" w:eastAsia="仿宋_GB2312" w:cs="仿宋_GB2312"/>
          <w:sz w:val="32"/>
          <w:szCs w:val="32"/>
          <w:highlight w:val="none"/>
          <w:lang w:val="en-US" w:eastAsia="zh-CN"/>
        </w:rPr>
        <w:t>竞买保证金的，将</w:t>
      </w:r>
      <w:r>
        <w:rPr>
          <w:rFonts w:hint="eastAsia" w:ascii="仿宋_GB2312" w:hAnsi="仿宋_GB2312" w:eastAsia="仿宋_GB2312" w:cs="仿宋_GB2312"/>
          <w:sz w:val="32"/>
          <w:szCs w:val="32"/>
          <w:highlight w:val="none"/>
        </w:rPr>
        <w:t>于电子挂牌交易活动结束</w:t>
      </w:r>
      <w:r>
        <w:rPr>
          <w:rFonts w:hint="eastAsia" w:ascii="仿宋_GB2312" w:hAnsi="仿宋_GB2312" w:eastAsia="仿宋_GB2312" w:cs="仿宋_GB2312"/>
          <w:sz w:val="32"/>
          <w:szCs w:val="32"/>
          <w:highlight w:val="none"/>
          <w:lang w:val="en-US" w:eastAsia="zh-CN"/>
        </w:rPr>
        <w:t>之日起</w:t>
      </w:r>
      <w:r>
        <w:rPr>
          <w:rFonts w:hint="eastAsia" w:ascii="仿宋_GB2312" w:hAnsi="仿宋_GB2312" w:eastAsia="仿宋_GB2312" w:cs="仿宋_GB2312"/>
          <w:sz w:val="32"/>
          <w:szCs w:val="32"/>
          <w:highlight w:val="none"/>
        </w:rPr>
        <w:t>5个工作日内带齐相关资料（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rPr>
        <w:t>《保证金到</w:t>
      </w:r>
      <w:r>
        <w:rPr>
          <w:rFonts w:hint="eastAsia" w:ascii="仿宋_GB2312" w:hAnsi="仿宋_GB2312" w:eastAsia="仿宋_GB2312" w:cs="仿宋_GB2312"/>
          <w:color w:val="000000"/>
          <w:sz w:val="32"/>
          <w:szCs w:val="32"/>
          <w:highlight w:val="none"/>
          <w:lang w:val="en-US" w:eastAsia="zh-CN"/>
        </w:rPr>
        <w:t>账</w:t>
      </w:r>
      <w:r>
        <w:rPr>
          <w:rFonts w:hint="eastAsia" w:ascii="仿宋_GB2312" w:hAnsi="仿宋_GB2312" w:eastAsia="仿宋_GB2312" w:cs="仿宋_GB2312"/>
          <w:color w:val="000000"/>
          <w:sz w:val="32"/>
          <w:szCs w:val="32"/>
          <w:highlight w:val="none"/>
        </w:rPr>
        <w:t>通知书》</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保证金</w:t>
      </w:r>
      <w:r>
        <w:rPr>
          <w:rFonts w:hint="eastAsia" w:ascii="仿宋_GB2312" w:hAnsi="仿宋_GB2312" w:eastAsia="仿宋_GB2312" w:cs="仿宋_GB2312"/>
          <w:color w:val="000000"/>
          <w:sz w:val="32"/>
          <w:szCs w:val="32"/>
          <w:highlight w:val="none"/>
        </w:rPr>
        <w:t>进账单等）到本中心退还保证金，不计利息。</w:t>
      </w:r>
    </w:p>
    <w:p>
      <w:pPr>
        <w:pStyle w:val="2"/>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《成交确认书》签订之日起5个工作日内竞得人须与出让人签订《出让合同》。</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sz w:val="32"/>
          <w:szCs w:val="32"/>
          <w:highlight w:val="none"/>
          <w:lang w:eastAsia="zh-CN"/>
        </w:rPr>
        <w:t>竞得人办理保证金转付地价款手续须带齐相关资料（惠州市非税收入缴款通知、保证金到账通知书、竞价结果通知书、保证金转账凭证）到我中心办理。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）有下列情形之一的，本中心将暂停、中止或终止网上挂牌交易活动：</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1、网上挂牌交易系统受到网络恶意入侵的。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2、因网上挂牌交易系统遭受破坏或发生电力、网络故障等不可抗力因素，导致网上挂牌交易系统不能正常运行的。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3、网上挂牌交易委托人根据有关规定要求暂停、中止或终止网上挂牌交易活动的。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4、涉及土地或矿业权纠纷，不能及时解决的。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5、司法机关要求暂停、中止或终止网上挂牌交易活动的。</w:t>
      </w:r>
    </w:p>
    <w:p>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6、市自然资源管理部门或交易中心认为应当暂停、中止或终止网上挂牌交易活动的其他情形。</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）网上挂牌成交价即为该幅地块的总地价款，竞得人除支付成交价款外，还需支付契税、印花税等有关费用。</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）网上挂牌不成交的，应当按规定由委托方和本中心重新组织出让。</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）本中心认为需要对网上挂牌出让须知、公告及相关交易文件作出修改、补充时，将通过原公告发布渠道公告，不作另行通知。</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）本须知及公告涉及的时间期限，以惠州市公共资源交易中心土地与矿业网上挂牌交易系统服务器的时间为准。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）本中心对本《须知》有解释权。未尽事宜依照《招标拍卖挂牌出让国有土地使用权规范》办理。</w:t>
      </w:r>
    </w:p>
    <w:p>
      <w:pPr>
        <w:tabs>
          <w:tab w:val="left" w:pos="3388"/>
        </w:tabs>
        <w:ind w:firstLine="4640" w:firstLineChars="1450"/>
        <w:jc w:val="left"/>
        <w:rPr>
          <w:rFonts w:hint="eastAsia" w:ascii="仿宋_GB2312" w:hAnsi="仿宋_GB2312" w:eastAsia="仿宋_GB2312" w:cs="仿宋_GB2312"/>
          <w:sz w:val="32"/>
          <w:szCs w:val="32"/>
          <w:highlight w:val="none"/>
        </w:rPr>
      </w:pPr>
    </w:p>
    <w:p>
      <w:pPr>
        <w:tabs>
          <w:tab w:val="left" w:pos="3388"/>
        </w:tabs>
        <w:ind w:firstLine="4640" w:firstLineChars="14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w:t>
      </w:r>
    </w:p>
    <w:p>
      <w:pPr>
        <w:tabs>
          <w:tab w:val="left" w:pos="3388"/>
        </w:tabs>
        <w:jc w:val="left"/>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highlight w:val="none"/>
        </w:rPr>
        <w:t xml:space="preserve">                               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日</w:t>
      </w:r>
    </w:p>
    <w:p>
      <w:bookmarkStart w:id="8" w:name="_GoBack"/>
      <w:bookmarkEnd w:id="8"/>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17 -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B17AE"/>
    <w:rsid w:val="710B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2021-10-15T09:48:00Z</dcterms:created>
  <dc:creator>杨惠丹</dc:creator>
  <cp:lastModifiedBy>杨惠丹</cp:lastModifiedBy>
  <dcterms:modified xsi:type="dcterms:W3CDTF">2021-10-15T09:48:24Z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