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贰万贰仟肆佰叁拾壹</w:t>
      </w:r>
      <w:r>
        <w:rPr>
          <w:rFonts w:hint="eastAsia" w:ascii="仿宋_GB2312" w:hAnsi="宋体" w:eastAsia="仿宋_GB2312" w:cs="仿宋_GB2312"/>
        </w:rPr>
        <w:t>平方米（小写</w:t>
      </w:r>
      <w:r>
        <w:rPr>
          <w:rFonts w:hint="eastAsia" w:eastAsia="仿宋_GB2312"/>
          <w:sz w:val="32"/>
          <w:szCs w:val="32"/>
          <w:u w:val="single"/>
          <w:lang w:val="en-US" w:eastAsia="zh-CN"/>
        </w:rPr>
        <w:t>22431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惠城区马安工业集中发展区（北）MABY-01-27-01地块</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壹万壹仟叁佰陆拾叁元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11363</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color w:val="000000" w:themeColor="text1"/>
          <w:u w:val="single"/>
          <w:lang w:val="en-US" w:eastAsia="zh-CN"/>
          <w14:textFill>
            <w14:solidFill>
              <w14:schemeClr w14:val="tx1"/>
            </w14:solidFill>
          </w14:textFill>
        </w:rPr>
        <w:t>49601.45</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ascii="仿宋_GB2312" w:hAnsi="宋体" w:eastAsia="仿宋_GB2312" w:cs="仿宋_GB2312"/>
          <w:u w:val="single"/>
        </w:rPr>
        <w:t xml:space="preserve">   </w:t>
      </w:r>
      <w:r>
        <w:rPr>
          <w:rFonts w:hint="eastAsia" w:ascii="仿宋_GB2312" w:hAnsi="宋体" w:eastAsia="仿宋_GB2312" w:cs="仿宋_GB2312"/>
        </w:rPr>
        <w:t>不低</w:t>
      </w:r>
      <w:bookmarkStart w:id="0" w:name="_GoBack"/>
      <w:bookmarkEnd w:id="0"/>
      <w:r>
        <w:rPr>
          <w:rFonts w:hint="eastAsia" w:ascii="仿宋_GB2312" w:hAnsi="宋体" w:eastAsia="仿宋_GB2312" w:cs="仿宋_GB2312"/>
        </w:rPr>
        <w:t>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2FB0B55"/>
    <w:rsid w:val="12185287"/>
    <w:rsid w:val="39B638AB"/>
    <w:rsid w:val="3EC707EF"/>
    <w:rsid w:val="3F233C1E"/>
    <w:rsid w:val="42120C66"/>
    <w:rsid w:val="49320B86"/>
    <w:rsid w:val="705F02D4"/>
    <w:rsid w:val="752F5F8B"/>
    <w:rsid w:val="768E6E27"/>
    <w:rsid w:val="7868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5</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2020-11-05T02:40:19Z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