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18"/>
          <w:szCs w:val="18"/>
        </w:rPr>
      </w:pPr>
      <w:r>
        <w:rPr>
          <w:rFonts w:hint="default" w:ascii="Times New Roman" w:hAnsi="Times New Roman" w:eastAsia="方正小标宋简体" w:cs="Times New Roman"/>
          <w:b/>
          <w:bCs/>
          <w:sz w:val="48"/>
          <w:szCs w:val="48"/>
        </w:rPr>
        <w:t>国有建设用地使用权出让合同</w:t>
      </w:r>
    </w:p>
    <w:p>
      <w:pPr>
        <w:pStyle w:val="3"/>
        <w:jc w:val="center"/>
        <w:rPr>
          <w:rFonts w:hint="default" w:ascii="Times New Roman" w:hAnsi="Times New Roman" w:cs="Times New Roman"/>
          <w:b/>
          <w:bCs/>
          <w:sz w:val="18"/>
          <w:szCs w:val="18"/>
        </w:rPr>
      </w:pPr>
      <w:r>
        <w:rPr>
          <w:rFonts w:hint="default" w:ascii="Times New Roman" w:hAnsi="Times New Roman" w:eastAsia="方正小标宋简体" w:cs="Times New Roman"/>
          <w:b/>
          <w:bCs/>
          <w:sz w:val="48"/>
          <w:szCs w:val="48"/>
        </w:rPr>
        <w:t>（样本）</w:t>
      </w: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spacing w:line="500" w:lineRule="exact"/>
        <w:jc w:val="left"/>
        <w:rPr>
          <w:rFonts w:hint="default" w:ascii="Times New Roman" w:hAnsi="Times New Roman" w:cs="Times New Roman"/>
          <w:bCs/>
        </w:rPr>
      </w:pPr>
      <w:r>
        <w:rPr>
          <w:rFonts w:hint="default" w:ascii="Times New Roman" w:hAnsi="Times New Roman" w:cs="Times New Roman"/>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16510" b="6985"/>
                <wp:wrapNone/>
                <wp:docPr id="46" name="矩形 7"/>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7" o:spid="_x0000_s1026" o:spt="1" style="position:absolute;left:0pt;margin-left:319.5pt;margin-top:11.85pt;height:35.1pt;width:48.75pt;z-index:251667456;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BwW5tgAAAAJAQAADwAAAAAAAAABACAAAAAiAAAAZHJzL2Rvd25yZXYueG1sUEsBAhQAFAAAAAgA&#10;h07iQL0Lpz7sAQAA6QMAAA4AAAAAAAAAAQAgAAAAJwEAAGRycy9lMm9Eb2MueG1sUEsFBgAAAAAG&#10;AAYAWQEAAIUFA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int="default" w:ascii="Times New Roman" w:hAnsi="Times New Roman" w:cs="Times New Roman"/>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0795" b="10795"/>
                <wp:wrapNone/>
                <wp:docPr id="47" name="矩形 8"/>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wrap="square" upright="1"/>
                    </wps:wsp>
                  </a:graphicData>
                </a:graphic>
              </wp:anchor>
            </w:drawing>
          </mc:Choice>
          <mc:Fallback>
            <w:pict>
              <v:rect id="矩形 8" o:spid="_x0000_s1026" o:spt="1" style="position:absolute;left:0pt;margin-left:36pt;margin-top:0pt;height:62.4pt;width:288pt;z-index:251668480;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PeMpNUAAAAHAQAADwAAAAAAAAABACAAAAAiAAAAZHJzL2Rvd25yZXYueG1sUEsBAhQAFAAAAAgA&#10;h07iQF7b4B3vAQAA6gMAAA4AAAAAAAAAAQAgAAAAJAEAAGRycy9lMm9Eb2MueG1sUEsFBgAAAAAG&#10;AAYAWQEAAIUFA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default" w:ascii="Times New Roman" w:hAnsi="Times New Roman" w:cs="Times New Roman"/>
          <w:bCs/>
        </w:rPr>
        <w:t xml:space="preserve">         </w:t>
      </w:r>
    </w:p>
    <w:p>
      <w:pPr>
        <w:pStyle w:val="3"/>
        <w:spacing w:line="500" w:lineRule="exact"/>
        <w:jc w:val="left"/>
        <w:rPr>
          <w:rFonts w:hint="default" w:ascii="Times New Roman" w:hAnsi="Times New Roman" w:cs="Times New Roman"/>
          <w:b/>
          <w:bCs/>
          <w:sz w:val="36"/>
          <w:szCs w:val="36"/>
        </w:rPr>
      </w:pPr>
      <w:r>
        <w:rPr>
          <w:rFonts w:hint="default" w:ascii="Times New Roman" w:hAnsi="Times New Roman" w:cs="Times New Roman"/>
          <w:bCs/>
          <w:spacing w:val="6"/>
        </w:rPr>
        <w:t xml:space="preserve">        </w:t>
      </w:r>
    </w:p>
    <w:p>
      <w:pPr>
        <w:pStyle w:val="3"/>
        <w:ind w:firstLine="4960" w:firstLineChars="1550"/>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u w:val="single"/>
        </w:rPr>
      </w:pPr>
      <w:r>
        <w:rPr>
          <w:rFonts w:hint="default" w:ascii="Times New Roman" w:hAnsi="Times New Roman" w:cs="Times New Roman"/>
        </w:rPr>
        <w:t>合同编号：</w:t>
      </w:r>
      <w:r>
        <w:rPr>
          <w:rFonts w:hint="default" w:ascii="Times New Roman" w:hAnsi="Times New Roman" w:cs="Times New Roman"/>
          <w:u w:val="single"/>
        </w:rPr>
        <w:t xml:space="preserve">     /        </w:t>
      </w:r>
    </w:p>
    <w:p>
      <w:pPr>
        <w:pStyle w:val="3"/>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国有建设用地使用权出让合同</w:t>
      </w:r>
    </w:p>
    <w:p>
      <w:pPr>
        <w:pStyle w:val="3"/>
        <w:jc w:val="center"/>
        <w:rPr>
          <w:rFonts w:hint="default" w:ascii="Times New Roman" w:hAnsi="Times New Roman" w:eastAsia="黑体" w:cs="Times New Roman"/>
          <w:sz w:val="36"/>
          <w:szCs w:val="36"/>
        </w:rPr>
      </w:pP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本合同双方当事人：</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出让人：</w:t>
      </w:r>
      <w:r>
        <w:rPr>
          <w:rFonts w:hint="default" w:ascii="Times New Roman" w:hAnsi="Times New Roman" w:eastAsia="仿宋_GB2312" w:cs="Times New Roman"/>
          <w:u w:val="single"/>
        </w:rPr>
        <w:t xml:space="preserve"> 惠州市自然资源局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惠州市三新南路7号                    </w:t>
      </w:r>
      <w:r>
        <w:rPr>
          <w:rFonts w:hint="default" w:ascii="Times New Roman" w:hAnsi="Times New Roman" w:eastAsia="仿宋_GB2312" w:cs="Times New Roman"/>
        </w:rPr>
        <w:t xml:space="preserve">；                    </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账号： </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softHyphen/>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账号：</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rPr>
          <w:rFonts w:hint="default" w:ascii="Times New Roman" w:hAnsi="Times New Roman" w:eastAsia="黑体"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黑体" w:cs="Times New Roman"/>
        </w:rPr>
        <w:t>第一章 总   则</w:t>
      </w:r>
    </w:p>
    <w:p>
      <w:pPr>
        <w:pStyle w:val="3"/>
        <w:jc w:val="center"/>
        <w:rPr>
          <w:rFonts w:hint="default" w:ascii="Times New Roman" w:hAnsi="Times New Roman" w:eastAsia="仿宋_GB2312" w:cs="Times New Roman"/>
        </w:rPr>
      </w:pPr>
    </w:p>
    <w:p>
      <w:pPr>
        <w:pStyle w:val="3"/>
        <w:ind w:firstLine="630" w:firstLineChars="196"/>
        <w:rPr>
          <w:rFonts w:hint="default" w:ascii="Times New Roman" w:hAnsi="Times New Roman" w:eastAsia="仿宋_GB2312" w:cs="Times New Roman"/>
        </w:rPr>
      </w:pPr>
      <w:r>
        <w:rPr>
          <w:rFonts w:hint="default" w:ascii="Times New Roman" w:hAnsi="Times New Roman" w:eastAsia="方正楷体_GBK" w:cs="Times New Roman"/>
          <w:b/>
          <w:bCs/>
        </w:rPr>
        <w:t>第一条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第二条</w:t>
      </w:r>
      <w:r>
        <w:rPr>
          <w:rFonts w:hint="default" w:ascii="Times New Roman" w:hAns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第三条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第二章 出让土地的交付与出让价款的缴纳</w:t>
      </w:r>
    </w:p>
    <w:p>
      <w:pPr>
        <w:pStyle w:val="3"/>
        <w:jc w:val="center"/>
        <w:rPr>
          <w:rFonts w:hint="default" w:ascii="Times New Roman" w:hAnsi="Times New Roman" w:eastAsia="黑体" w:cs="Times New Roman"/>
        </w:rPr>
      </w:pPr>
    </w:p>
    <w:p>
      <w:pPr>
        <w:pStyle w:val="3"/>
        <w:ind w:firstLine="506"/>
        <w:rPr>
          <w:rFonts w:hint="default" w:ascii="Times New Roman" w:hAnsi="Times New Roman" w:eastAsia="仿宋_GB2312" w:cs="Times New Roman"/>
        </w:rPr>
      </w:pPr>
      <w:r>
        <w:rPr>
          <w:rFonts w:hint="default" w:ascii="Times New Roman" w:hAnsi="Times New Roman" w:eastAsia="方正楷体_GBK" w:cs="Times New Roman"/>
          <w:b/>
          <w:bCs/>
        </w:rPr>
        <w:t>第四条</w:t>
      </w:r>
      <w:r>
        <w:rPr>
          <w:rFonts w:hint="default" w:ascii="Times New Roman" w:hAnsi="Times New Roman" w:eastAsia="仿宋_GB2312" w:cs="Times New Roman"/>
        </w:rPr>
        <w:t xml:space="preserve">  本合同项下出让用地编号为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color w:val="auto"/>
          <w:kern w:val="2"/>
          <w:sz w:val="32"/>
          <w:szCs w:val="32"/>
          <w:highlight w:val="none"/>
          <w:u w:val="single"/>
        </w:rPr>
        <w:t>LJL</w:t>
      </w:r>
      <w:r>
        <w:rPr>
          <w:rFonts w:hint="eastAsia" w:ascii="Times New Roman" w:hAnsi="Times New Roman" w:eastAsia="仿宋_GB2312" w:cs="Times New Roman"/>
          <w:color w:val="auto"/>
          <w:kern w:val="2"/>
          <w:sz w:val="32"/>
          <w:szCs w:val="32"/>
          <w:highlight w:val="none"/>
          <w:u w:val="single"/>
          <w:lang w:val="en-US" w:eastAsia="zh-CN"/>
        </w:rPr>
        <w:t>-</w:t>
      </w:r>
      <w:r>
        <w:rPr>
          <w:rFonts w:hint="default" w:ascii="Times New Roman" w:hAnsi="Times New Roman" w:eastAsia="仿宋_GB2312" w:cs="Times New Roman"/>
          <w:color w:val="auto"/>
          <w:kern w:val="2"/>
          <w:sz w:val="32"/>
          <w:szCs w:val="32"/>
          <w:highlight w:val="none"/>
          <w:u w:val="single"/>
        </w:rPr>
        <w:t>47-28</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，宗地总面积大写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叁万柒仟壹佰柒拾壹点陆壹</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kern w:val="2"/>
          <w:sz w:val="32"/>
          <w:szCs w:val="32"/>
          <w:highlight w:val="none"/>
          <w:u w:val="single"/>
          <w:lang w:val="en-US" w:eastAsia="zh-CN"/>
        </w:rPr>
        <w:t>37171.61</w:t>
      </w:r>
      <w:r>
        <w:rPr>
          <w:rFonts w:hint="default" w:ascii="Times New Roman" w:hAnsi="Times New Roman" w:eastAsia="仿宋_GB2312" w:cs="Times New Roman"/>
        </w:rPr>
        <w:t>平方米），其中出让宗地面积为大写</w:t>
      </w:r>
      <w:r>
        <w:rPr>
          <w:rFonts w:hint="eastAsia" w:ascii="Times New Roman" w:hAnsi="Times New Roman" w:eastAsia="仿宋_GB2312" w:cs="Times New Roman"/>
          <w:u w:val="single"/>
          <w:lang w:val="en-US" w:eastAsia="zh-CN"/>
        </w:rPr>
        <w:t>叁万贰仟肆佰壹拾捌点叁玖</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kern w:val="2"/>
          <w:sz w:val="32"/>
          <w:szCs w:val="32"/>
          <w:highlight w:val="none"/>
          <w:u w:val="single"/>
          <w:lang w:val="en-US" w:eastAsia="zh-CN"/>
        </w:rPr>
        <w:t>32418.39</w:t>
      </w:r>
      <w:r>
        <w:rPr>
          <w:rFonts w:hint="default" w:ascii="Times New Roman" w:hAnsi="Times New Roman" w:eastAsia="仿宋_GB2312" w:cs="Times New Roman"/>
        </w:rPr>
        <w:t>平方米）。</w:t>
      </w:r>
    </w:p>
    <w:p>
      <w:pPr>
        <w:pStyle w:val="3"/>
        <w:ind w:left="160" w:leftChars="76" w:firstLine="483" w:firstLineChars="151"/>
        <w:rPr>
          <w:rFonts w:hint="default" w:ascii="Times New Roman" w:hAnsi="Times New Roman" w:eastAsia="仿宋_GB2312" w:cs="Times New Roman"/>
          <w:u w:val="none"/>
          <w:lang w:val="en-US" w:eastAsia="zh-CN"/>
        </w:rPr>
      </w:pPr>
      <w:r>
        <w:rPr>
          <w:rFonts w:hint="default" w:ascii="Times New Roman" w:hAnsi="Times New Roman" w:eastAsia="仿宋_GB2312" w:cs="Times New Roman"/>
        </w:rPr>
        <w:t>本合同项下的出让宗地坐落于</w:t>
      </w:r>
      <w:r>
        <w:rPr>
          <w:rFonts w:hint="default" w:ascii="Times New Roman" w:hAnsi="Times New Roman" w:eastAsia="仿宋_GB2312" w:cs="Times New Roman"/>
          <w:sz w:val="32"/>
          <w:szCs w:val="32"/>
          <w:u w:val="single"/>
          <w:lang w:val="en-US" w:eastAsia="zh-CN"/>
        </w:rPr>
        <w:t>鹿江沥南岸LJL</w:t>
      </w:r>
      <w:r>
        <w:rPr>
          <w:rFonts w:hint="eastAsia"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u w:val="single"/>
          <w:lang w:val="en-US" w:eastAsia="zh-CN"/>
        </w:rPr>
        <w:t>47-28</w:t>
      </w:r>
      <w:r>
        <w:rPr>
          <w:rFonts w:hint="default" w:ascii="Times New Roman" w:hAnsi="Times New Roman" w:eastAsia="仿宋_GB2312" w:cs="Times New Roman"/>
          <w:kern w:val="2"/>
          <w:sz w:val="32"/>
          <w:szCs w:val="32"/>
          <w:u w:val="single"/>
          <w:lang w:val="en-US" w:eastAsia="zh-CN"/>
        </w:rPr>
        <w:t>地块</w:t>
      </w:r>
      <w:r>
        <w:rPr>
          <w:rFonts w:hint="eastAsia" w:ascii="Times New Roman" w:hAnsi="Times New Roman" w:eastAsia="仿宋_GB2312" w:cs="Times New Roman"/>
          <w:u w:val="none"/>
          <w:lang w:val="en-US" w:eastAsia="zh-CN"/>
        </w:rPr>
        <w:t xml:space="preserve">   </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本合同项下出让宗地的平面界址为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；出让宗地的平面界址图见附件1。</w:t>
      </w:r>
    </w:p>
    <w:p>
      <w:pPr>
        <w:pStyle w:val="3"/>
        <w:rPr>
          <w:rFonts w:hint="default" w:ascii="Times New Roman" w:hAnsi="Times New Roman" w:eastAsia="仿宋_GB2312" w:cs="Times New Roman"/>
        </w:rPr>
      </w:pPr>
      <w:r>
        <w:rPr>
          <w:rFonts w:hint="default" w:ascii="Times New Roman" w:hAnsi="Times New Roman" w:eastAsia="仿宋_GB2312" w:cs="Times New Roman"/>
        </w:rPr>
        <w:t>本合同项下出让宗地的竖向界限以</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为上界限，以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为下界限，高差为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米。出让宗地竖向界限见附件2。</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出让宗地空间范围是以上述界址点所构成的垂直面和上、下界限高程平面封闭形成的空间范围。</w:t>
      </w:r>
    </w:p>
    <w:p>
      <w:pPr>
        <w:pStyle w:val="3"/>
        <w:tabs>
          <w:tab w:val="left" w:pos="1260"/>
        </w:tabs>
        <w:ind w:firstLine="643" w:firstLineChars="200"/>
        <w:rPr>
          <w:rFonts w:hint="default" w:ascii="Times New Roman" w:hAnsi="Times New Roman" w:eastAsia="仿宋_GB2312" w:cs="Times New Roman"/>
          <w:u w:val="single"/>
        </w:rPr>
      </w:pPr>
      <w:r>
        <w:rPr>
          <w:rFonts w:hint="default" w:ascii="Times New Roman" w:hAnsi="Times New Roman" w:eastAsia="方正楷体_GBK" w:cs="Times New Roman"/>
          <w:b/>
          <w:bCs/>
        </w:rPr>
        <w:t>第五条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本合同项下出让宗地的用途为 </w:t>
      </w:r>
      <w:r>
        <w:rPr>
          <w:rFonts w:hint="default" w:ascii="Times New Roman" w:hAnsi="Times New Roman" w:eastAsia="仿宋_GB2312" w:cs="Times New Roman"/>
          <w:u w:val="single"/>
        </w:rPr>
        <w:t xml:space="preserve"> 城镇住宅及商服用地   </w:t>
      </w:r>
      <w:r>
        <w:rPr>
          <w:rFonts w:hint="default" w:ascii="Times New Roman" w:hAnsi="Times New Roman" w:eastAsia="仿宋_GB2312" w:cs="Times New Roman"/>
        </w:rPr>
        <w:t>。</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第六条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出让人同意在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月</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日前将出让宗地交付给受让人，出让人同意在交付土地时该宗地应达到本条第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项规定的土地条件：</w:t>
      </w:r>
    </w:p>
    <w:p>
      <w:pPr>
        <w:pStyle w:val="3"/>
        <w:rPr>
          <w:rFonts w:hint="default" w:ascii="Times New Roman" w:hAnsi="Times New Roman" w:eastAsia="仿宋_GB2312" w:cs="Times New Roman"/>
        </w:rPr>
      </w:pPr>
      <w:r>
        <w:rPr>
          <w:rFonts w:hint="default" w:ascii="Times New Roman" w:hAnsi="Times New Roman" w:eastAsia="仿宋_GB2312" w:cs="Times New Roman"/>
        </w:rPr>
        <w:t>（一）场地平整达到</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rPr>
          <w:rFonts w:hint="default" w:ascii="Times New Roman" w:hAnsi="Times New Roman" w:eastAsia="仿宋_GB2312" w:cs="Times New Roman"/>
        </w:rPr>
      </w:pPr>
      <w:r>
        <w:rPr>
          <w:rFonts w:hint="default" w:ascii="Times New Roman" w:hAnsi="Times New Roman" w:eastAsia="仿宋_GB2312" w:cs="Times New Roman"/>
        </w:rPr>
        <w:t>周围基础设施达到</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 xml:space="preserve">（二）现状土地条件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kern w:val="2"/>
          <w:sz w:val="32"/>
          <w:szCs w:val="32"/>
          <w:u w:val="single"/>
        </w:rPr>
        <w:t>该地属政府储备地，没有法律经济纠纷，具备动工开发所必须的基本条件</w:t>
      </w:r>
      <w:r>
        <w:rPr>
          <w:rFonts w:hint="eastAsia" w:ascii="Times New Roman" w:hAnsi="Times New Roman" w:eastAsia="仿宋_GB2312" w:cs="Times New Roman"/>
          <w:kern w:val="2"/>
          <w:sz w:val="32"/>
          <w:szCs w:val="32"/>
          <w:u w:val="single"/>
          <w:lang w:eastAsia="zh-CN"/>
        </w:rPr>
        <w:t>。</w:t>
      </w:r>
      <w:r>
        <w:rPr>
          <w:rFonts w:hint="eastAsia" w:ascii="Times New Roman" w:hAns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本合同项下的国有建设用地使用权出让年期为</w:t>
      </w:r>
      <w:r>
        <w:rPr>
          <w:rFonts w:hint="default" w:ascii="Times New Roman" w:hAnsi="Times New Roman" w:eastAsia="仿宋_GB2312" w:cs="Times New Roman"/>
          <w:u w:val="single"/>
        </w:rPr>
        <w:t xml:space="preserve"> 城镇住宅用地70年，商服用地40年</w:t>
      </w:r>
      <w:r>
        <w:rPr>
          <w:rFonts w:hint="default" w:ascii="Times New Roman" w:hAnsi="Times New Roman" w:eastAsia="仿宋_GB2312" w:cs="Times New Roman"/>
        </w:rPr>
        <w:t>，按本合同第六条约定的交付土地之日起算；原划拨（承租）国有建设用地使用权补办出让手续的，出让年期自合同签订之日起算。</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第八条</w:t>
      </w:r>
      <w:r>
        <w:rPr>
          <w:rFonts w:hint="default" w:ascii="Times New Roman" w:hAnsi="Times New Roman" w:eastAsia="仿宋_GB2312" w:cs="Times New Roman"/>
        </w:rPr>
        <w:t xml:space="preserve">  本合同项下宗地的国有建设用地使用权出让价款为人民币大写</w:t>
      </w:r>
      <w:r>
        <w:rPr>
          <w:rFonts w:hint="default" w:ascii="Times New Roman" w:hAnsi="Times New Roman" w:eastAsia="仿宋_GB2312" w:cs="Times New Roman"/>
          <w:u w:val="single"/>
        </w:rPr>
        <w:t xml:space="preserve">  </w:t>
      </w:r>
      <w:r>
        <w:rPr>
          <w:rFonts w:hint="default" w:ascii="Times New Roman" w:hAnsi="Times New Roman" w:cs="Times New Roman"/>
          <w:u w:val="single"/>
        </w:rPr>
        <w:t xml:space="preserve">   /     </w:t>
      </w:r>
      <w:r>
        <w:rPr>
          <w:rFonts w:hint="default" w:ascii="Times New Roman" w:hAnsi="Times New Roman" w:eastAsia="仿宋_GB2312" w:cs="Times New Roman"/>
        </w:rPr>
        <w:t>元 （小写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w:t>
      </w:r>
    </w:p>
    <w:p>
      <w:pPr>
        <w:pStyle w:val="3"/>
        <w:ind w:firstLine="643" w:firstLineChars="200"/>
        <w:jc w:val="left"/>
        <w:rPr>
          <w:rFonts w:hint="default" w:ascii="Times New Roman" w:hAnsi="Times New Roman" w:eastAsia="仿宋_GB2312" w:cs="Times New Roman"/>
          <w:u w:val="single"/>
        </w:rPr>
      </w:pPr>
      <w:r>
        <w:rPr>
          <w:rFonts w:hint="default" w:ascii="Times New Roman" w:hAnsi="Times New Roman" w:eastAsia="方正楷体_GBK" w:cs="Times New Roman"/>
          <w:b/>
          <w:bCs/>
        </w:rPr>
        <w:t>第九条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本合同项下宗地的定金为人民币大写</w:t>
      </w:r>
      <w:r>
        <w:rPr>
          <w:rFonts w:hint="default" w:ascii="Times New Roman" w:hAnsi="Times New Roman" w:cs="Times New Roman"/>
          <w:u w:val="single"/>
        </w:rPr>
        <w:t xml:space="preserve">     /   </w:t>
      </w:r>
    </w:p>
    <w:p>
      <w:pPr>
        <w:pStyle w:val="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元），定金抵作土地出让价款。</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第十条</w:t>
      </w:r>
      <w:r>
        <w:rPr>
          <w:rFonts w:hint="default" w:ascii="Times New Roman" w:hAnsi="Times New Roman" w:eastAsia="仿宋_GB2312" w:cs="Times New Roman"/>
        </w:rPr>
        <w:t xml:space="preserve">  受让人同意按照本条第一款第</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项的规定向出让人支付国有建设用地使用权出让价款：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（一）本合同签订之日起</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日内，一次性付清国有建设用地使用权出让价款；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（二）按以下时间和金额分</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期向出让人支付国有建设用地使用权出让价款。</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第十一条</w:t>
      </w:r>
      <w:r>
        <w:rPr>
          <w:rFonts w:hint="default" w:ascii="Times New Roman" w:hAns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hint="default" w:ascii="Times New Roman" w:hAnsi="Times New Roman" w:eastAsia="仿宋_GB2312" w:cs="Times New Roman"/>
          <w:color w:val="000000"/>
          <w:kern w:val="0"/>
        </w:rPr>
      </w:pPr>
    </w:p>
    <w:p>
      <w:pPr>
        <w:pStyle w:val="3"/>
        <w:jc w:val="center"/>
        <w:rPr>
          <w:rFonts w:hint="default" w:ascii="Times New Roman" w:hAnsi="Times New Roman" w:eastAsia="黑体" w:cs="Times New Roman"/>
          <w:u w:val="single"/>
        </w:rPr>
      </w:pPr>
      <w:r>
        <w:rPr>
          <w:rFonts w:hint="default" w:ascii="Times New Roman" w:hAnsi="Times New Roman" w:eastAsia="黑体" w:cs="Times New Roman"/>
          <w:u w:val="single"/>
        </w:rPr>
        <w:t>第三章  土地开发建设与利用</w:t>
      </w:r>
    </w:p>
    <w:p>
      <w:pPr>
        <w:pStyle w:val="3"/>
        <w:jc w:val="center"/>
        <w:rPr>
          <w:rFonts w:hint="default" w:ascii="Times New Roman" w:hAnsi="Times New Roman" w:eastAsia="黑体" w:cs="Times New Roman"/>
        </w:rPr>
      </w:pP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第十二条</w:t>
      </w:r>
      <w:r>
        <w:rPr>
          <w:rFonts w:hint="default" w:ascii="Times New Roman" w:hAnsi="Times New Roman" w:eastAsia="仿宋_GB2312" w:cs="Times New Roman"/>
        </w:rPr>
        <w:t xml:space="preserve"> </w:t>
      </w:r>
      <w:r>
        <w:rPr>
          <w:rFonts w:hint="default" w:ascii="Times New Roman" w:hAnsi="Times New Roman" w:eastAsia="仿宋_GB2312" w:cs="Times New Roman"/>
          <w:color w:val="FF0000"/>
        </w:rPr>
        <w:t xml:space="preserve"> </w:t>
      </w:r>
      <w:r>
        <w:rPr>
          <w:rFonts w:hint="default" w:ascii="Times New Roman" w:hAnsi="Times New Roman" w:eastAsia="仿宋_GB2312" w:cs="Times New Roman"/>
        </w:rPr>
        <w:t>受让人同意本合同项下宗地开发投资强度按本条第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项规定执行：</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u w:val="single"/>
        </w:rPr>
        <w:t xml:space="preserve">   /   </w:t>
      </w:r>
      <w:r>
        <w:rPr>
          <w:rFonts w:hint="default" w:ascii="Times New Roman" w:hAnsi="Times New Roman" w:eastAsia="仿宋_GB2312" w:cs="Times New Roman"/>
        </w:rPr>
        <w:t>万元（小写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万元），投资强度不低于每平方米人民币大写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（二）本合同项下宗地用于非工业项目建设，受让人承诺本合同项下宗地的开发投资总额不低于人民币大写  万元 （小写万元）。</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第十三条</w:t>
      </w:r>
      <w:r>
        <w:rPr>
          <w:rFonts w:hint="default" w:ascii="Times New Roman" w:hAnsi="Times New Roman" w:eastAsia="仿宋_GB2312" w:cs="Times New Roman"/>
        </w:rPr>
        <w:t xml:space="preserve">  受让人在本合同项下宗地范围内新建建筑物、构筑物及其附属设施的，应符合市（县）政府规划管理部门确定的出让宗地规划条件</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u w:val="single"/>
        </w:rPr>
        <w:t>详见</w:t>
      </w:r>
      <w:r>
        <w:rPr>
          <w:rFonts w:hint="default" w:ascii="Times New Roman" w:hAnsi="Times New Roman" w:eastAsia="仿宋_GB2312" w:cs="Times New Roman"/>
          <w:color w:val="auto"/>
          <w:u w:val="single"/>
          <w:lang w:eastAsia="zh-CN"/>
        </w:rPr>
        <w:t>《规划设计条件告知书》（案卷编号：PB20210078）</w:t>
      </w:r>
      <w:r>
        <w:rPr>
          <w:rFonts w:hint="default" w:ascii="Times New Roman" w:hAnsi="Times New Roman" w:eastAsia="仿宋_GB2312" w:cs="Times New Roman"/>
          <w:color w:val="auto"/>
        </w:rPr>
        <w:t>。</w:t>
      </w:r>
      <w:r>
        <w:rPr>
          <w:rFonts w:hint="default" w:ascii="Times New Roman" w:hAnsi="Times New Roman" w:eastAsia="仿宋_GB2312" w:cs="Times New Roman"/>
        </w:rPr>
        <w:t>。其中：</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主体建筑物性质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附属建筑物性质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建筑总面积</w:t>
      </w:r>
      <w:r>
        <w:rPr>
          <w:rFonts w:hint="eastAsia" w:ascii="Times New Roman" w:hAnsi="Times New Roman" w:eastAsia="仿宋_GB2312" w:cs="Times New Roman"/>
          <w:kern w:val="2"/>
          <w:sz w:val="32"/>
          <w:szCs w:val="32"/>
          <w:highlight w:val="none"/>
          <w:u w:val="single"/>
          <w:lang w:val="en-US" w:eastAsia="zh-CN"/>
        </w:rPr>
        <w:t xml:space="preserve"> 107799</w:t>
      </w:r>
      <w:r>
        <w:rPr>
          <w:rFonts w:hint="default" w:ascii="Times New Roman" w:hAnsi="Times New Roman" w:eastAsia="仿宋_GB2312" w:cs="Times New Roman"/>
          <w:kern w:val="2"/>
          <w:sz w:val="32"/>
          <w:szCs w:val="32"/>
          <w:highlight w:val="none"/>
          <w:u w:val="single"/>
          <w:lang w:val="en-US" w:eastAsia="zh-CN"/>
        </w:rPr>
        <w:t xml:space="preserve"> </w:t>
      </w:r>
      <w:r>
        <w:rPr>
          <w:rFonts w:hint="default" w:ascii="Times New Roman" w:hAnsi="Times New Roman" w:eastAsia="仿宋_GB2312" w:cs="Times New Roman"/>
        </w:rPr>
        <w:t>平方米；</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建筑容积率不高于</w:t>
      </w:r>
      <w:r>
        <w:rPr>
          <w:rFonts w:hint="eastAsia" w:ascii="Times New Roman" w:hAnsi="Times New Roman" w:eastAsia="仿宋_GB2312" w:cs="Times New Roman"/>
          <w:u w:val="single"/>
          <w:lang w:val="en-US" w:eastAsia="zh-CN"/>
        </w:rPr>
        <w:t xml:space="preserve"> 2.9 </w:t>
      </w:r>
      <w:r>
        <w:rPr>
          <w:rFonts w:hint="default" w:ascii="Times New Roman" w:hAnsi="Times New Roman" w:eastAsia="仿宋_GB2312" w:cs="Times New Roman"/>
          <w:b/>
          <w:bCs/>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建筑限高</w:t>
      </w:r>
      <w:r>
        <w:rPr>
          <w:rFonts w:hint="default" w:ascii="Times New Roman" w:hAnsi="Times New Roman" w:eastAsia="仿宋_GB2312" w:cs="Times New Roman"/>
          <w:u w:val="single"/>
        </w:rPr>
        <w:t xml:space="preserve">      /  ；</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建筑密度不高于</w:t>
      </w:r>
      <w:r>
        <w:rPr>
          <w:rFonts w:hint="default" w:ascii="Times New Roman" w:hAnsi="Times New Roman" w:eastAsia="仿宋_GB2312" w:cs="Times New Roman"/>
          <w:u w:val="single"/>
        </w:rPr>
        <w:t xml:space="preserve"> 22%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绿地率不高于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35%   </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snapToGrid/>
        <w:spacing w:line="600" w:lineRule="exact"/>
        <w:ind w:left="571" w:leftChars="266" w:hanging="12" w:hangingChars="4"/>
        <w:jc w:val="both"/>
        <w:textAlignment w:val="auto"/>
        <w:rPr>
          <w:rFonts w:hint="default" w:ascii="Times New Roman" w:hAnsi="Times New Roman" w:eastAsia="仿宋_GB2312" w:cs="Times New Roman"/>
          <w:color w:val="auto"/>
          <w:sz w:val="32"/>
          <w:szCs w:val="32"/>
          <w:highlight w:val="yellow"/>
          <w:u w:val="single"/>
          <w:lang w:val="en-US" w:eastAsia="zh-CN"/>
        </w:rPr>
      </w:pPr>
      <w:r>
        <w:rPr>
          <w:rFonts w:hint="default" w:ascii="Times New Roman" w:hAnsi="Times New Roman" w:eastAsia="仿宋_GB2312" w:cs="Times New Roman"/>
          <w:sz w:val="32"/>
          <w:szCs w:val="32"/>
        </w:rPr>
        <w:t>其他土地利用要求：</w:t>
      </w:r>
      <w:r>
        <w:rPr>
          <w:rFonts w:hint="eastAsia" w:ascii="Times New Roman" w:hAnsi="Times New Roman" w:eastAsia="仿宋_GB2312" w:cs="Times New Roman"/>
          <w:color w:val="auto"/>
          <w:sz w:val="32"/>
          <w:szCs w:val="32"/>
          <w:highlight w:val="none"/>
          <w:u w:val="single"/>
          <w:lang w:val="en-US" w:eastAsia="zh-CN"/>
        </w:rPr>
        <w:t>1、竞得人须配建总建筑面积不低于5390㎡的安置房并无偿移交政府，安置房套数、户型等详见安置房建设与移交协议。竞得人在竞得地块后须先与惠城区国有资产监督管理局签订安置房建设与移交协议后方可与市自然资源局签订《出让合同》；2、LJL</w:t>
      </w:r>
      <w:r>
        <w:rPr>
          <w:rFonts w:hint="eastAsia" w:eastAsia="仿宋_GB2312" w:cs="Times New Roman"/>
          <w:color w:val="auto"/>
          <w:sz w:val="32"/>
          <w:szCs w:val="32"/>
          <w:highlight w:val="none"/>
          <w:u w:val="single"/>
          <w:lang w:val="en-US" w:eastAsia="zh-CN"/>
        </w:rPr>
        <w:t>-</w:t>
      </w:r>
      <w:r>
        <w:rPr>
          <w:rFonts w:hint="eastAsia" w:ascii="Times New Roman" w:hAnsi="Times New Roman" w:eastAsia="仿宋_GB2312" w:cs="Times New Roman"/>
          <w:color w:val="auto"/>
          <w:sz w:val="32"/>
          <w:szCs w:val="32"/>
          <w:highlight w:val="none"/>
          <w:u w:val="single"/>
          <w:lang w:val="en-US" w:eastAsia="zh-CN"/>
        </w:rPr>
        <w:t>47-27地块幼儿园用地同步划拨给惠城区教育局，由取得LJL</w:t>
      </w:r>
      <w:r>
        <w:rPr>
          <w:rFonts w:hint="eastAsia" w:eastAsia="仿宋_GB2312" w:cs="Times New Roman"/>
          <w:color w:val="auto"/>
          <w:sz w:val="32"/>
          <w:szCs w:val="32"/>
          <w:highlight w:val="none"/>
          <w:u w:val="single"/>
          <w:lang w:val="en-US" w:eastAsia="zh-CN"/>
        </w:rPr>
        <w:t>-</w:t>
      </w:r>
      <w:r>
        <w:rPr>
          <w:rFonts w:hint="eastAsia" w:ascii="Times New Roman" w:hAnsi="Times New Roman" w:eastAsia="仿宋_GB2312" w:cs="Times New Roman"/>
          <w:color w:val="auto"/>
          <w:sz w:val="32"/>
          <w:szCs w:val="32"/>
          <w:highlight w:val="none"/>
          <w:u w:val="single"/>
          <w:lang w:val="en-US" w:eastAsia="zh-CN"/>
        </w:rPr>
        <w:t>47-28地块的土地使用权者按照规划要求和惠城区教育局提出的建设标准完成配套幼儿园建设并无偿移交惠城区教育局。LJL</w:t>
      </w:r>
      <w:r>
        <w:rPr>
          <w:rFonts w:hint="eastAsia" w:eastAsia="仿宋_GB2312" w:cs="Times New Roman"/>
          <w:color w:val="auto"/>
          <w:sz w:val="32"/>
          <w:szCs w:val="32"/>
          <w:highlight w:val="none"/>
          <w:u w:val="single"/>
          <w:lang w:val="en-US" w:eastAsia="zh-CN"/>
        </w:rPr>
        <w:t>-</w:t>
      </w:r>
      <w:r>
        <w:rPr>
          <w:rFonts w:hint="eastAsia" w:ascii="Times New Roman" w:hAnsi="Times New Roman" w:eastAsia="仿宋_GB2312" w:cs="Times New Roman"/>
          <w:color w:val="auto"/>
          <w:sz w:val="32"/>
          <w:szCs w:val="32"/>
          <w:highlight w:val="none"/>
          <w:u w:val="single"/>
          <w:lang w:val="en-US" w:eastAsia="zh-CN"/>
        </w:rPr>
        <w:t>47-27地块和LJL</w:t>
      </w:r>
      <w:r>
        <w:rPr>
          <w:rFonts w:hint="eastAsia" w:eastAsia="仿宋_GB2312" w:cs="Times New Roman"/>
          <w:color w:val="auto"/>
          <w:sz w:val="32"/>
          <w:szCs w:val="32"/>
          <w:highlight w:val="none"/>
          <w:u w:val="single"/>
          <w:lang w:val="en-US" w:eastAsia="zh-CN"/>
        </w:rPr>
        <w:t>-</w:t>
      </w:r>
      <w:r>
        <w:rPr>
          <w:rFonts w:hint="eastAsia" w:ascii="Times New Roman" w:hAnsi="Times New Roman" w:eastAsia="仿宋_GB2312" w:cs="Times New Roman"/>
          <w:color w:val="auto"/>
          <w:sz w:val="32"/>
          <w:szCs w:val="32"/>
          <w:highlight w:val="none"/>
          <w:u w:val="single"/>
          <w:lang w:val="en-US" w:eastAsia="zh-CN"/>
        </w:rPr>
        <w:t>47-28地块应同步规划设计、同步建设、同步验收交付使用，如LJL</w:t>
      </w:r>
      <w:r>
        <w:rPr>
          <w:rFonts w:hint="eastAsia" w:eastAsia="仿宋_GB2312" w:cs="Times New Roman"/>
          <w:color w:val="auto"/>
          <w:sz w:val="32"/>
          <w:szCs w:val="32"/>
          <w:highlight w:val="none"/>
          <w:u w:val="single"/>
          <w:lang w:val="en-US" w:eastAsia="zh-CN"/>
        </w:rPr>
        <w:t>-</w:t>
      </w:r>
      <w:r>
        <w:rPr>
          <w:rFonts w:hint="eastAsia" w:ascii="Times New Roman" w:hAnsi="Times New Roman" w:eastAsia="仿宋_GB2312" w:cs="Times New Roman"/>
          <w:color w:val="auto"/>
          <w:sz w:val="32"/>
          <w:szCs w:val="32"/>
          <w:highlight w:val="none"/>
          <w:u w:val="single"/>
          <w:lang w:val="en-US" w:eastAsia="zh-CN"/>
        </w:rPr>
        <w:t>47-28分期建设，该幼儿园应纳入首期工程；3、取得LJL</w:t>
      </w:r>
      <w:r>
        <w:rPr>
          <w:rFonts w:hint="eastAsia" w:eastAsia="仿宋_GB2312" w:cs="Times New Roman"/>
          <w:color w:val="auto"/>
          <w:sz w:val="32"/>
          <w:szCs w:val="32"/>
          <w:highlight w:val="none"/>
          <w:u w:val="single"/>
          <w:lang w:val="en-US" w:eastAsia="zh-CN"/>
        </w:rPr>
        <w:t>-</w:t>
      </w:r>
      <w:r>
        <w:rPr>
          <w:rFonts w:hint="eastAsia" w:ascii="Times New Roman" w:hAnsi="Times New Roman" w:eastAsia="仿宋_GB2312" w:cs="Times New Roman"/>
          <w:color w:val="auto"/>
          <w:sz w:val="32"/>
          <w:szCs w:val="32"/>
          <w:highlight w:val="none"/>
          <w:u w:val="single"/>
          <w:lang w:val="en-US" w:eastAsia="zh-CN"/>
        </w:rPr>
        <w:t>47-28地块的土地使用权者须按规划要求及相关规范承担规划二路和规划三路（包括雨水管、污水管、电力电缆沟和通信管群）的建设，建成后无偿移交政府相关部门；4、LJL</w:t>
      </w:r>
      <w:r>
        <w:rPr>
          <w:rFonts w:hint="eastAsia" w:eastAsia="仿宋_GB2312" w:cs="Times New Roman"/>
          <w:color w:val="auto"/>
          <w:sz w:val="32"/>
          <w:szCs w:val="32"/>
          <w:highlight w:val="none"/>
          <w:u w:val="single"/>
          <w:lang w:val="en-US" w:eastAsia="zh-CN"/>
        </w:rPr>
        <w:t>-</w:t>
      </w:r>
      <w:r>
        <w:rPr>
          <w:rFonts w:hint="eastAsia" w:ascii="Times New Roman" w:hAnsi="Times New Roman" w:eastAsia="仿宋_GB2312" w:cs="Times New Roman"/>
          <w:color w:val="auto"/>
          <w:sz w:val="32"/>
          <w:szCs w:val="32"/>
          <w:highlight w:val="none"/>
          <w:u w:val="single"/>
          <w:lang w:val="en-US" w:eastAsia="zh-CN"/>
        </w:rPr>
        <w:t>47-27、LJL</w:t>
      </w:r>
      <w:r>
        <w:rPr>
          <w:rFonts w:hint="eastAsia" w:eastAsia="仿宋_GB2312" w:cs="Times New Roman"/>
          <w:color w:val="auto"/>
          <w:sz w:val="32"/>
          <w:szCs w:val="32"/>
          <w:highlight w:val="none"/>
          <w:u w:val="single"/>
          <w:lang w:val="en-US" w:eastAsia="zh-CN"/>
        </w:rPr>
        <w:t>-</w:t>
      </w:r>
      <w:r>
        <w:rPr>
          <w:rFonts w:hint="eastAsia" w:ascii="Times New Roman" w:hAnsi="Times New Roman" w:eastAsia="仿宋_GB2312" w:cs="Times New Roman"/>
          <w:color w:val="auto"/>
          <w:sz w:val="32"/>
          <w:szCs w:val="32"/>
          <w:highlight w:val="none"/>
          <w:u w:val="single"/>
          <w:lang w:val="en-US" w:eastAsia="zh-CN"/>
        </w:rPr>
        <w:t>47-28地块涉及的现状10KV架空线须由取得LJL</w:t>
      </w:r>
      <w:r>
        <w:rPr>
          <w:rFonts w:hint="eastAsia" w:eastAsia="仿宋_GB2312" w:cs="Times New Roman"/>
          <w:color w:val="auto"/>
          <w:sz w:val="32"/>
          <w:szCs w:val="32"/>
          <w:highlight w:val="none"/>
          <w:u w:val="single"/>
          <w:lang w:val="en-US" w:eastAsia="zh-CN"/>
        </w:rPr>
        <w:t>-</w:t>
      </w:r>
      <w:r>
        <w:rPr>
          <w:rFonts w:hint="eastAsia" w:ascii="Times New Roman" w:hAnsi="Times New Roman" w:eastAsia="仿宋_GB2312" w:cs="Times New Roman"/>
          <w:color w:val="auto"/>
          <w:sz w:val="32"/>
          <w:szCs w:val="32"/>
          <w:highlight w:val="none"/>
          <w:u w:val="single"/>
          <w:lang w:val="en-US" w:eastAsia="zh-CN"/>
        </w:rPr>
        <w:t>47-28地块土地使用者按供电部门要求负责迁移。</w:t>
      </w:r>
      <w:r>
        <w:rPr>
          <w:rFonts w:hint="eastAsia" w:eastAsia="仿宋_GB2312" w:cs="Times New Roman"/>
          <w:color w:val="auto"/>
          <w:sz w:val="32"/>
          <w:szCs w:val="32"/>
          <w:highlight w:val="none"/>
          <w:u w:val="single"/>
          <w:lang w:val="en-US" w:eastAsia="zh-CN"/>
        </w:rPr>
        <w:t>5、</w:t>
      </w:r>
      <w:r>
        <w:rPr>
          <w:rFonts w:hint="eastAsia" w:ascii="Times New Roman" w:hAnsi="Times New Roman" w:eastAsia="仿宋_GB2312" w:cs="Times New Roman"/>
          <w:color w:val="auto"/>
          <w:sz w:val="32"/>
          <w:szCs w:val="32"/>
          <w:highlight w:val="none"/>
          <w:u w:val="single"/>
          <w:lang w:val="en-US" w:eastAsia="zh-CN"/>
        </w:rPr>
        <w:t>受让人</w:t>
      </w:r>
      <w:r>
        <w:rPr>
          <w:rFonts w:hint="default" w:ascii="Times New Roman" w:hAnsi="Times New Roman" w:eastAsia="仿宋_GB2312" w:cs="Times New Roman"/>
          <w:color w:val="auto"/>
          <w:sz w:val="32"/>
          <w:szCs w:val="32"/>
          <w:highlight w:val="none"/>
          <w:u w:val="single"/>
          <w:lang w:val="en-US" w:eastAsia="zh-CN"/>
        </w:rPr>
        <w:t>在用地红线内开发建设必须符合城市规划要求，必须按《规划设计条件告知书》（案卷编号：PB202100</w:t>
      </w:r>
      <w:r>
        <w:rPr>
          <w:rFonts w:hint="eastAsia" w:ascii="Times New Roman" w:hAnsi="Times New Roman" w:eastAsia="仿宋_GB2312" w:cs="Times New Roman"/>
          <w:color w:val="auto"/>
          <w:sz w:val="32"/>
          <w:szCs w:val="32"/>
          <w:highlight w:val="none"/>
          <w:u w:val="single"/>
          <w:lang w:val="en-US" w:eastAsia="zh-CN"/>
        </w:rPr>
        <w:t>55</w:t>
      </w:r>
      <w:r>
        <w:rPr>
          <w:rFonts w:hint="default" w:ascii="Times New Roman" w:hAnsi="Times New Roman" w:eastAsia="仿宋_GB2312" w:cs="Times New Roman"/>
          <w:color w:val="auto"/>
          <w:sz w:val="32"/>
          <w:szCs w:val="32"/>
          <w:highlight w:val="none"/>
          <w:u w:val="single"/>
          <w:lang w:val="en-US" w:eastAsia="zh-CN"/>
        </w:rPr>
        <w:t>）规划控制指标要求及有关规定进行规划设计</w:t>
      </w:r>
      <w:r>
        <w:rPr>
          <w:rFonts w:hint="eastAsia" w:ascii="Times New Roman" w:hAnsi="Times New Roman" w:eastAsia="仿宋_GB2312" w:cs="Times New Roman"/>
          <w:color w:val="auto"/>
          <w:sz w:val="32"/>
          <w:szCs w:val="32"/>
          <w:highlight w:val="none"/>
          <w:u w:val="single"/>
          <w:lang w:val="en-US" w:eastAsia="zh-CN"/>
        </w:rPr>
        <w:t>。</w:t>
      </w:r>
    </w:p>
    <w:p>
      <w:pPr>
        <w:spacing w:line="560" w:lineRule="exact"/>
        <w:ind w:firstLine="420" w:firstLineChars="200"/>
        <w:rPr>
          <w:rFonts w:hint="default" w:ascii="Times New Roman" w:hAnsi="Times New Roman" w:eastAsia="仿宋_GB2312" w:cs="Times New Roman"/>
          <w:kern w:val="2"/>
          <w:sz w:val="32"/>
          <w:szCs w:val="32"/>
          <w:u w:val="single"/>
          <w:lang w:val="en-US" w:eastAsia="zh-CN" w:bidi="ar-SA"/>
        </w:rPr>
      </w:pPr>
      <w:r>
        <w:rPr>
          <w:rFonts w:hint="eastAsia" w:ascii="仿宋_GB2312" w:hAnsi="仿宋_GB2312" w:eastAsia="仿宋_GB2312" w:cs="仿宋_GB2312"/>
          <w:u w:val="single"/>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kern w:val="2"/>
          <w:sz w:val="32"/>
          <w:szCs w:val="32"/>
          <w:u w:val="single"/>
          <w:lang w:val="en-US" w:eastAsia="zh-CN" w:bidi="ar-SA"/>
        </w:rPr>
        <w:t xml:space="preserve"> </w:t>
      </w:r>
    </w:p>
    <w:p>
      <w:pPr>
        <w:pStyle w:val="3"/>
        <w:ind w:firstLine="645"/>
        <w:jc w:val="left"/>
        <w:rPr>
          <w:rFonts w:hint="default" w:ascii="Times New Roman" w:hAnsi="Times New Roman" w:eastAsia="仿宋_GB2312" w:cs="Times New Roman"/>
        </w:rPr>
      </w:pPr>
      <w:r>
        <w:rPr>
          <w:rFonts w:hint="default" w:ascii="Times New Roman" w:hAnsi="Times New Roman" w:eastAsia="方正楷体_GBK" w:cs="Times New Roman"/>
          <w:b/>
          <w:bCs/>
        </w:rPr>
        <w:t>第十四条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受让人同意本合同项下宗地建设配套按本条第</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项规定执行：</w:t>
      </w:r>
    </w:p>
    <w:p>
      <w:pPr>
        <w:pStyle w:val="3"/>
        <w:ind w:firstLine="645"/>
        <w:jc w:val="left"/>
        <w:rPr>
          <w:rFonts w:hint="default" w:ascii="Times New Roman" w:hAnsi="Times New Roman" w:eastAsia="仿宋_GB2312" w:cs="Times New Roman"/>
        </w:rPr>
      </w:pPr>
      <w:r>
        <w:rPr>
          <w:rFonts w:hint="default" w:ascii="Times New Roman" w:hAnsi="Times New Roman" w:eastAsia="仿宋_GB2312" w:cs="Times New Roman"/>
        </w:rPr>
        <w:t>（一）本合同项下宗地用于工业项目建设，根据规划部门确定的规划设计条件，</w:t>
      </w:r>
      <w:r>
        <w:rPr>
          <w:rFonts w:hint="default" w:ascii="Times New Roman" w:hAnsi="Times New Roman" w:eastAsia="仿宋_GB2312" w:cs="Times New Roman"/>
          <w:spacing w:val="2"/>
        </w:rPr>
        <w:t>本合同受让宗地范围内用于企业内部行政办公及生活服务设施的占地面积不超过受让宗地面积</w:t>
      </w:r>
      <w:r>
        <w:rPr>
          <w:rFonts w:hint="default" w:ascii="Times New Roman" w:hAnsi="Times New Roman" w:eastAsia="仿宋_GB2312" w:cs="Times New Roman"/>
        </w:rPr>
        <w:t>的</w:t>
      </w:r>
    </w:p>
    <w:p>
      <w:pPr>
        <w:pStyle w:val="3"/>
        <w:ind w:left="6" w:leftChars="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％，即不超过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 建筑面积不超过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平方米。受让人同意不在受让宗地范围内建造成套住宅、专家楼、宾馆、招待所和培训中心等非生产性设施；</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套。其中，套型建筑面积90平方米以下住房套数不少于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套，住宅建设套型要求为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sz w:val="30"/>
          <w:u w:val="single"/>
        </w:rPr>
        <w:t>/</w:t>
      </w:r>
      <w:r>
        <w:rPr>
          <w:rFonts w:hint="default" w:ascii="Times New Roman" w:hAnsi="Times New Roman" w:eastAsia="仿宋_GB2312" w:cs="Times New Roman"/>
        </w:rPr>
        <w:t>。本合同项下宗地范围内套型建筑面积90平方米以下住房面积占宗地开发建设总面积的比例不低于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种方式履行：</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1．移交给政府；</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2．由政府回购；</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3．按政府经济适用住房建设和销售管理的有关规定执行；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3" w:firstLineChars="200"/>
        <w:rPr>
          <w:rFonts w:hint="default" w:ascii="Times New Roman" w:hAnsi="Times New Roman" w:eastAsia="仿宋_GB2312" w:cs="Times New Roman"/>
          <w:b/>
          <w:bCs/>
        </w:rPr>
      </w:pPr>
      <w:r>
        <w:rPr>
          <w:rFonts w:hint="default" w:ascii="Times New Roman" w:hAnsi="Times New Roman" w:eastAsia="方正楷体_GBK" w:cs="Times New Roman"/>
          <w:b/>
          <w:bCs/>
        </w:rPr>
        <w:t>第十五条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受让人同意在本合同项下宗地范围内同步修建下列工程配套项目，并在建成后无偿移交给政府：</w:t>
      </w:r>
    </w:p>
    <w:p>
      <w:pPr>
        <w:pStyle w:val="3"/>
        <w:ind w:firstLine="645"/>
        <w:rPr>
          <w:rFonts w:hint="default" w:ascii="Times New Roman" w:hAnsi="Times New Roman" w:eastAsia="仿宋_GB2312" w:cs="Times New Roman"/>
          <w:u w:val="single"/>
        </w:rPr>
      </w:pPr>
      <w:r>
        <w:rPr>
          <w:rFonts w:hint="default" w:ascii="Times New Roman" w:hAnsi="Times New Roman" w:eastAsia="方正楷体_GBK" w:cs="Times New Roman"/>
          <w:b/>
          <w:bCs/>
        </w:rPr>
        <w:t>第十六条</w:t>
      </w:r>
      <w:r>
        <w:rPr>
          <w:rFonts w:hint="default" w:ascii="Times New Roman" w:hAnsi="Times New Roman" w:eastAsia="仿宋_GB2312" w:cs="Times New Roman"/>
        </w:rPr>
        <w:t xml:space="preserve">  受让人同意本合同项下宗地建设项目在</w:t>
      </w:r>
      <w:r>
        <w:rPr>
          <w:rFonts w:hint="default" w:ascii="Times New Roman" w:hAnsi="Times New Roman" w:eastAsia="仿宋_GB2312" w:cs="Times New Roman"/>
          <w:u w:val="single"/>
        </w:rPr>
        <w:t xml:space="preserve">     </w:t>
      </w:r>
    </w:p>
    <w:p>
      <w:pPr>
        <w:pStyle w:val="3"/>
        <w:rPr>
          <w:rFonts w:hint="default" w:ascii="Times New Roman" w:hAnsi="Times New Roman" w:eastAsia="仿宋_GB2312" w:cs="Times New Roman"/>
          <w:u w:val="single"/>
        </w:rPr>
      </w:pP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日之前开工，在</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日之前竣工。</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受让人不能按期开工，应提前30日向出让人提出延建申请，经出让人同意延建的，其项目竣工时间相应顺延，但延建期限不得超过一年。</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hint="default" w:ascii="Times New Roman" w:hAnsi="Times New Roman" w:eastAsia="仿宋_GB2312" w:cs="Times New Roman"/>
          <w:b/>
        </w:rPr>
      </w:pPr>
      <w:r>
        <w:rPr>
          <w:rFonts w:hint="default" w:ascii="Times New Roman" w:hAns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第十八条</w:t>
      </w:r>
      <w:r>
        <w:rPr>
          <w:rFonts w:hint="default" w:ascii="Times New Roman" w:hAns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项规定办理：</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（一）由出让人有偿收回建设用地使用权；</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第十九条</w:t>
      </w:r>
      <w:r>
        <w:rPr>
          <w:rFonts w:hint="default" w:ascii="Times New Roman" w:hAns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第二十条</w:t>
      </w:r>
      <w:r>
        <w:rPr>
          <w:rFonts w:hint="default" w:ascii="Times New Roman" w:hAns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第四章  国有建设用地使用权转让、出租、抵押</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第二十一条</w:t>
      </w:r>
      <w:r>
        <w:rPr>
          <w:rFonts w:hint="default" w:ascii="Times New Roman" w:hAns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项规定的条件：</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（一）按照本合同约定进行投资开发，完成开发投资总额的百分之二十五以上；</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（二）按照本合同约定进行投资开发，已形成工业用地或其他建设用地条件。</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第二十二条</w:t>
      </w:r>
      <w:r>
        <w:rPr>
          <w:rFonts w:hint="default" w:ascii="Times New Roman" w:hAnsi="Times New Roman" w:eastAsia="仿宋_GB2312" w:cs="Times New Roman"/>
        </w:rPr>
        <w:t xml:space="preserve">  国有建设用地使用权的转让、出租及抵押合同，不得违背国家法律、法规规定和本合同约定。</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第二十三条</w:t>
      </w:r>
      <w:r>
        <w:rPr>
          <w:rFonts w:hint="default" w:ascii="Times New Roman" w:hAns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本合同项下的全部或部分国有建设用地使用权出租后，本合同和土地登记文件中载明的权利、义务仍由受让人承担。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第五章 期限届满</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第二十五条</w:t>
      </w:r>
      <w:r>
        <w:rPr>
          <w:rFonts w:hint="default" w:ascii="Times New Roman" w:hAns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住宅建设用地使用权期限届满的，自动续期。</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第二十六条</w:t>
      </w:r>
      <w:r>
        <w:rPr>
          <w:rFonts w:hint="default" w:ascii="Times New Roman" w:hAns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项约定履行：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（二）由出让人无偿收回地上建筑物、构筑物及其附属设施。</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第二十七条</w:t>
      </w:r>
      <w:r>
        <w:rPr>
          <w:rFonts w:hint="default" w:ascii="Times New Roman" w:hAns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第六章 不可抗力</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第二十八条</w:t>
      </w:r>
      <w:r>
        <w:rPr>
          <w:rFonts w:hint="default" w:ascii="Times New Roman" w:hAns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第二十九条</w:t>
      </w:r>
      <w:r>
        <w:rPr>
          <w:rFonts w:hint="default" w:ascii="Times New Roman" w:hAns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第七章 违约责任</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rPr>
        <w:t>每日按迟延支付款项</w:t>
      </w:r>
      <w:r>
        <w:rPr>
          <w:rFonts w:hint="default" w:ascii="Times New Roman" w:hAnsi="Times New Roman" w:eastAsia="仿宋_GB2312" w:cs="Times New Roman"/>
        </w:rPr>
        <w:t>的</w:t>
      </w:r>
    </w:p>
    <w:p>
      <w:pPr>
        <w:pStyle w:val="3"/>
        <w:ind w:hanging="6"/>
        <w:rPr>
          <w:rFonts w:hint="default" w:ascii="Times New Roman" w:hAnsi="Times New Roman" w:eastAsia="仿宋_GB2312" w:cs="Times New Roman"/>
          <w:u w:val="single"/>
        </w:rPr>
      </w:pP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第三十一条</w:t>
      </w:r>
      <w:r>
        <w:rPr>
          <w:rFonts w:hint="default" w:ascii="Times New Roman" w:hAns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第三十二条</w:t>
      </w:r>
      <w:r>
        <w:rPr>
          <w:rFonts w:hint="default" w:ascii="Times New Roman" w:hAns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第三十三条</w:t>
      </w:r>
      <w:r>
        <w:rPr>
          <w:rFonts w:hint="default" w:ascii="Times New Roman" w:hAnsi="Times New Roman" w:eastAsia="仿宋_GB2312" w:cs="Times New Roman"/>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‰的违约金，出让人有权要求受让人继续履约。</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第三十四条</w:t>
      </w:r>
      <w:r>
        <w:rPr>
          <w:rFonts w:hint="default" w:ascii="Times New Roman" w:hAns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第三十五条</w:t>
      </w:r>
      <w:r>
        <w:rPr>
          <w:rFonts w:hint="default" w:ascii="Times New Roman" w:hAns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第三十六条</w:t>
      </w:r>
      <w:r>
        <w:rPr>
          <w:rFonts w:hint="default" w:ascii="Times New Roman" w:hAns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‰的违约金，并自行拆除相应的绿化和建筑设施。</w:t>
      </w:r>
    </w:p>
    <w:p>
      <w:pPr>
        <w:pStyle w:val="3"/>
        <w:ind w:firstLine="645"/>
        <w:rPr>
          <w:rFonts w:hint="default" w:ascii="Times New Roman" w:hAnsi="Times New Roman" w:eastAsia="仿宋_GB2312" w:cs="Times New Roman"/>
          <w:b/>
        </w:rPr>
      </w:pPr>
      <w:r>
        <w:rPr>
          <w:rFonts w:hint="default" w:ascii="Times New Roman" w:hAnsi="Times New Roman" w:eastAsia="方正楷体_GBK" w:cs="Times New Roman"/>
          <w:b/>
          <w:bCs/>
        </w:rPr>
        <w:t>第三十七条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第八章 适用法律及争议解决</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第三十八条</w:t>
      </w:r>
      <w:r>
        <w:rPr>
          <w:rFonts w:hint="default" w:ascii="Times New Roman" w:hAnsi="Times New Roman" w:eastAsia="仿宋_GB2312" w:cs="Times New Roman"/>
        </w:rPr>
        <w:t xml:space="preserve">  本合同订立、效力、解释、履行及争议的解决，适用中华人民共和国法律。</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第三十九条</w:t>
      </w:r>
      <w:r>
        <w:rPr>
          <w:rFonts w:hint="default" w:ascii="Times New Roman" w:hAnsi="Times New Roman" w:eastAsia="仿宋_GB2312" w:cs="Times New Roman"/>
        </w:rPr>
        <w:t xml:space="preserve">  因履行本合同发生争议，由争议双方协商解决，协商不成的，按本条第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项约定的方式解决：</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（一）提交</w:t>
      </w:r>
      <w:r>
        <w:rPr>
          <w:rFonts w:hint="default" w:ascii="Times New Roman" w:hAnsi="Times New Roman" w:eastAsia="仿宋_GB2312" w:cs="Times New Roman"/>
          <w:u w:val="single"/>
        </w:rPr>
        <w:t xml:space="preserve">     惠州          </w:t>
      </w:r>
      <w:r>
        <w:rPr>
          <w:rFonts w:hint="default" w:ascii="Times New Roman" w:hAnsi="Times New Roman" w:eastAsia="仿宋_GB2312" w:cs="Times New Roman"/>
        </w:rPr>
        <w:t>仲裁委员会仲裁；</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（二）依法向人民法院起诉。</w:t>
      </w:r>
    </w:p>
    <w:p>
      <w:pPr>
        <w:pStyle w:val="3"/>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第九章 附 则</w:t>
      </w:r>
    </w:p>
    <w:p>
      <w:pPr>
        <w:pStyle w:val="3"/>
        <w:spacing w:line="380" w:lineRule="exact"/>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第四十条</w:t>
      </w:r>
      <w:r>
        <w:rPr>
          <w:rFonts w:hint="default" w:ascii="Times New Roman" w:hAnsi="Times New Roman" w:eastAsia="仿宋_GB2312" w:cs="Times New Roman"/>
        </w:rPr>
        <w:t xml:space="preserve"> 本合同项下宗地出让方案业经</w:t>
      </w:r>
      <w:r>
        <w:rPr>
          <w:rFonts w:hint="default" w:ascii="Times New Roman" w:hAnsi="Times New Roman" w:eastAsia="仿宋_GB2312" w:cs="Times New Roman"/>
          <w:u w:val="single"/>
        </w:rPr>
        <w:t xml:space="preserve"> 惠州市 </w:t>
      </w:r>
      <w:r>
        <w:rPr>
          <w:rFonts w:hint="default" w:ascii="Times New Roman" w:hAnsi="Times New Roman" w:eastAsia="仿宋_GB2312" w:cs="Times New Roman"/>
        </w:rPr>
        <w:t>人民政府批准，本合同自双方签订之日起生效。</w:t>
      </w:r>
    </w:p>
    <w:p>
      <w:pPr>
        <w:pStyle w:val="3"/>
        <w:ind w:firstLine="645"/>
        <w:rPr>
          <w:rFonts w:hint="default" w:ascii="Times New Roman" w:hAnsi="Times New Roman" w:eastAsia="仿宋_GB2312" w:cs="Times New Roman"/>
          <w:b/>
          <w:bCs/>
        </w:rPr>
      </w:pPr>
      <w:r>
        <w:rPr>
          <w:rFonts w:hint="default" w:ascii="Times New Roman" w:hAnsi="Times New Roman" w:eastAsia="方正楷体_GBK" w:cs="Times New Roman"/>
          <w:b/>
          <w:bCs/>
        </w:rPr>
        <w:t>第四十一条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w:t>
      </w:r>
      <w:r>
        <w:rPr>
          <w:rFonts w:hint="default" w:ascii="Times New Roman" w:hAnsi="Times New Roman" w:eastAsia="仿宋_GB2312" w:cs="Times New Roman"/>
          <w:kern w:val="0"/>
        </w:rPr>
        <w:t>合同双方当事人均保证本合同中所填写的姓名、</w:t>
      </w:r>
      <w:r>
        <w:rPr>
          <w:rFonts w:hint="default" w:ascii="Times New Roman" w:hAnsi="Times New Roman" w:eastAsia="仿宋_GB2312" w:cs="Times New Roman"/>
        </w:rPr>
        <w:t>通讯地址、电话、传真、开户银行、</w:t>
      </w:r>
      <w:r>
        <w:rPr>
          <w:rFonts w:hint="default" w:ascii="Times New Roman" w:hAns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第四十二条</w:t>
      </w:r>
      <w:r>
        <w:rPr>
          <w:rFonts w:hint="default" w:ascii="Times New Roman" w:hAnsi="Times New Roman" w:eastAsia="仿宋_GB2312" w:cs="Times New Roman"/>
        </w:rPr>
        <w:t xml:space="preserve">  本合同和附件共</w:t>
      </w:r>
      <w:r>
        <w:rPr>
          <w:rFonts w:hint="default" w:ascii="Times New Roman" w:hAnsi="Times New Roman" w:eastAsia="仿宋_GB2312" w:cs="Times New Roman"/>
          <w:u w:val="single"/>
        </w:rPr>
        <w:t xml:space="preserve"> 贰拾</w:t>
      </w:r>
      <w:r>
        <w:rPr>
          <w:rFonts w:hint="default" w:ascii="Times New Roman" w:hAnsi="Times New Roman" w:eastAsia="仿宋_GB2312" w:cs="Times New Roman"/>
        </w:rPr>
        <w:t>页整，以中文书写为准。</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第四十三条</w:t>
      </w:r>
      <w:r>
        <w:rPr>
          <w:rFonts w:hint="default" w:ascii="Times New Roman" w:hAnsi="Times New Roman" w:eastAsia="仿宋_GB2312" w:cs="Times New Roman"/>
        </w:rPr>
        <w:t xml:space="preserve">  本合同的价款、金额、面积等项应当同时以大、小写表示，大小写数额应当一致，不一致的，以大写为准。</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第四十四条</w:t>
      </w:r>
      <w:r>
        <w:rPr>
          <w:rFonts w:hint="default" w:ascii="Times New Roman" w:hAnsi="Times New Roman" w:eastAsia="仿宋_GB2312" w:cs="Times New Roman"/>
        </w:rPr>
        <w:t xml:space="preserve">  本合同未尽事宜，可由双方约定后作为合同附件，与本合同具有同等法律效力。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第四十五条</w:t>
      </w:r>
      <w:r>
        <w:rPr>
          <w:rFonts w:hint="default" w:ascii="Times New Roman" w:hAnsi="Times New Roman" w:eastAsia="仿宋_GB2312" w:cs="Times New Roman"/>
        </w:rPr>
        <w:t xml:space="preserve">  本合同一式</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份，出让人</w:t>
      </w: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份,受让人</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份，具有同等法律效力。</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出让人（章）：               受让人（章）：</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法定代表人（委托代理人）    法定代表人(委托代理人)：</w:t>
      </w:r>
    </w:p>
    <w:p>
      <w:pPr>
        <w:pStyle w:val="3"/>
        <w:rPr>
          <w:rFonts w:hint="default" w:ascii="Times New Roman" w:hAnsi="Times New Roman" w:eastAsia="仿宋_GB2312" w:cs="Times New Roman"/>
        </w:rPr>
      </w:pPr>
      <w:r>
        <w:rPr>
          <w:rFonts w:hint="default" w:ascii="Times New Roman" w:hAnsi="Times New Roman" w:eastAsia="仿宋_GB2312" w:cs="Times New Roman"/>
        </w:rPr>
        <w:t>（签字）：                  （签字）：</w:t>
      </w:r>
    </w:p>
    <w:p>
      <w:pPr>
        <w:pStyle w:val="3"/>
        <w:rPr>
          <w:rFonts w:hint="default" w:ascii="Times New Roman" w:hAnsi="Times New Roman" w:eastAsia="仿宋_GB2312" w:cs="Times New Roman"/>
        </w:rPr>
      </w:pPr>
    </w:p>
    <w:p>
      <w:pPr>
        <w:pStyle w:val="3"/>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pStyle w:val="3"/>
        <w:wordWrap w:val="0"/>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二○二</w:t>
      </w:r>
      <w:r>
        <w:rPr>
          <w:rFonts w:hint="default" w:ascii="Times New Roman" w:hAnsi="Times New Roman" w:eastAsia="仿宋_GB2312" w:cs="Times New Roman"/>
          <w:lang w:val="en-US" w:eastAsia="zh-CN"/>
        </w:rPr>
        <w:t>一</w:t>
      </w:r>
      <w:r>
        <w:rPr>
          <w:rFonts w:hint="default" w:ascii="Times New Roman" w:hAnsi="Times New Roman" w:eastAsia="仿宋_GB2312" w:cs="Times New Roman"/>
        </w:rPr>
        <w:t>年  月   日</w:t>
      </w:r>
    </w:p>
    <w:p>
      <w:pPr>
        <w:jc w:val="left"/>
        <w:rPr>
          <w:rFonts w:hint="default" w:ascii="Times New Roman" w:hAnsi="Times New Roman" w:eastAsia="黑体" w:cs="Times New Roman"/>
        </w:rPr>
        <w:sectPr>
          <w:footerReference r:id="rId3" w:type="default"/>
          <w:pgSz w:w="11906" w:h="16838"/>
          <w:pgMar w:top="1701" w:right="1701" w:bottom="1701" w:left="1701" w:header="851" w:footer="1474" w:gutter="0"/>
          <w:pgNumType w:fmt="decimal" w:start="1"/>
          <w:cols w:space="720" w:num="1"/>
          <w:docGrid w:type="lines" w:linePitch="312" w:charSpace="0"/>
        </w:sectPr>
      </w:pPr>
    </w:p>
    <w:p>
      <w:pPr>
        <w:jc w:val="left"/>
        <w:rPr>
          <w:rFonts w:hint="default" w:ascii="Times New Roman" w:hAnsi="Times New Roman"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8" name="组合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4" name="图片 10"/>
                        <wps:cNvSpPr>
                          <a:spLocks noChangeAspect="1"/>
                        </wps:cNvSpPr>
                        <wps:spPr>
                          <a:xfrm>
                            <a:off x="1800" y="1830"/>
                            <a:ext cx="8280" cy="7800"/>
                          </a:xfrm>
                          <a:prstGeom prst="rect">
                            <a:avLst/>
                          </a:prstGeom>
                          <a:noFill/>
                          <a:ln>
                            <a:noFill/>
                          </a:ln>
                        </wps:spPr>
                        <wps:bodyPr wrap="square" upright="1"/>
                      </wps:wsp>
                      <wps:wsp>
                        <wps:cNvPr id="5" name="直线 11"/>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6" name="文本框 12"/>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7" name="直线 13"/>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9"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BrObg9UAAAAFAQAADwAAAAAAAAABACAAAAAiAAAAZHJzL2Rvd25yZXYueG1sUEsBAhQA&#10;FAAAAAgAh07iQLoCPntLAwAAWAoAAA4AAAAAAAAAAQAgAAAAJAEAAGRycy9lMm9Eb2MueG1sUEsF&#10;BgAAAAAGAAYAWQEAAOEGAAAAAA==&#10;">
                <o:lock v:ext="edit" rotation="t" aspectratio="t"/>
                <v:rect id="图片 10" o:spid="_x0000_s1026" o:spt="1" style="position:absolute;left:1800;top:1830;height:7800;width:828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t"/>
                </v:rect>
                <v:line id="直线 11" o:spid="_x0000_s1026" o:spt="20" style="position:absolute;left:8820;top:1830;flip:y;height:780;width:1;" filled="f" stroked="t" coordsize="21600,21600" o:gfxdata="UEsDBAoAAAAAAIdO4kAAAAAAAAAAAAAAAAAEAAAAZHJzL1BLAwQUAAAACACHTuJAm9Dfv7sAAADa&#10;AAAADwAAAGRycy9kb3ducmV2LnhtbEWPwW7CMBBE75X6D9ZW6q1xQGq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Dfv7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12" o:spid="_x0000_s1026" o:spt="202" type="#_x0000_t202" style="position:absolute;left:1980;top:4794;height:3593;width:900;" fillcolor="#FFFFFF" filled="t" stroked="f" coordsize="21600,21600" o:gfxdata="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96DP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13" o:spid="_x0000_s1026" o:spt="20" style="position:absolute;left:1980;top:4714;height:2835;width:1;" filled="f" stroked="t" coordsize="21600,21600" o:gfxdata="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kRuq8AAAA&#10;2g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rPr>
          <w:rFonts w:hint="default" w:ascii="Times New Roman" w:hAnsi="Times New Roman" w:eastAsia="楷体_GB2312" w:cs="Times New Roman"/>
          <w:b/>
          <w:bCs/>
          <w:sz w:val="30"/>
          <w:szCs w:val="30"/>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rPr>
      </w:pPr>
    </w:p>
    <w:p>
      <w:pPr>
        <w:jc w:val="left"/>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7620"/>
                <wp:wrapNone/>
                <wp:docPr id="45" name="文本框 14"/>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14" o:spid="_x0000_s1026" o:spt="202" type="#_x0000_t202" style="position:absolute;left:0pt;margin-left:324pt;margin-top:478.85pt;height:39pt;width:144pt;z-index:251666432;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OwHN2gAAAAwBAAAPAAAAAAAAAAEAIAAAACIAAABkcnMvZG93bnJldi54bWxQSwECFAAUAAAACACH&#10;TuJAB83s8rABAAA5AwAADgAAAAAAAAABACAAAAApAQAAZHJzL2Uyb0RvYy54bWxQSwUGAAAAAAYA&#10;BgBZAQAASwU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7620" b="4445"/>
                <wp:wrapNone/>
                <wp:docPr id="44" name="文本框 15"/>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15" o:spid="_x0000_s1026" o:spt="202" type="#_x0000_t202" style="position:absolute;left:0pt;margin-left:-17.25pt;margin-top:265.2pt;height:179.65pt;width:45pt;z-index:251665408;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vLJOdoAAAAKAQAADwAAAAAAAAABACAAAAAiAAAAZHJzL2Rvd25yZXYueG1sUEsB&#10;AhQAFAAAAAgAh07iQHmHDCW6AQAARwMAAA4AAAAAAAAAAQAgAAAAKQEAAGRycy9lMm9Eb2MueG1s&#10;UEsFBgAAAAAGAAYAWQEAAFUFA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0160" b="13335"/>
                <wp:wrapNone/>
                <wp:docPr id="43" name="直线 1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16" o:spid="_x0000_s1026" o:spt="20" style="position:absolute;left:0pt;margin-left:-18.85pt;margin-top:277.05pt;height:141.75pt;width:0.05pt;z-index:251664384;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JrD0/YAAAACwEAAA8AAAAAAAAAAQAgAAAA&#10;IgAAAGRycy9kb3ducmV2LnhtbFBLAQIUABQAAAAIAIdO4kDRK11j0gEAAJIDAAAOAAAAAAAAAAEA&#10;IAAAACcBAABkcnMvZTJvRG9jLnhtbFBLBQYAAAAABgAGAFkBAABrBQAAAAA=&#10;">
                <v:fill on="f" focussize="0,0"/>
                <v:stroke color="#000000" joinstyle="round" dashstyle="longDash"/>
                <v:imagedata o:title=""/>
                <o:lock v:ext="edit" aspectratio="f"/>
                <w10:anchorlock/>
              </v:line>
            </w:pict>
          </mc:Fallback>
        </mc:AlternateContent>
      </w:r>
      <w:r>
        <w:rPr>
          <w:rFonts w:hint="default" w:ascii="Times New Roman" w:hAnsi="Times New Roman" w:eastAsia="黑体" w:cs="Times New Roman"/>
        </w:rPr>
        <w:t>附件2</w:t>
      </w:r>
    </w:p>
    <w:p>
      <w:pPr>
        <w:jc w:val="center"/>
        <w:rPr>
          <w:rFonts w:hint="default" w:ascii="Times New Roman" w:hAnsi="Times New Roman" w:cs="Times New Roman"/>
        </w:rPr>
      </w:pPr>
      <w:r>
        <w:rPr>
          <w:rFonts w:hint="default" w:ascii="Times New Roman" w:hAnsi="Times New Roman" w:eastAsia="黑体" w:cs="Times New Roman"/>
          <w:sz w:val="36"/>
          <w:szCs w:val="36"/>
        </w:rPr>
        <w:t>出让宗地竖向界限</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2" name="组合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9" name="图片 18"/>
                        <wps:cNvSpPr>
                          <a:spLocks noChangeAspect="1"/>
                        </wps:cNvSpPr>
                        <wps:spPr>
                          <a:xfrm>
                            <a:off x="1800" y="2142"/>
                            <a:ext cx="9000" cy="9672"/>
                          </a:xfrm>
                          <a:prstGeom prst="rect">
                            <a:avLst/>
                          </a:prstGeom>
                          <a:noFill/>
                          <a:ln>
                            <a:noFill/>
                          </a:ln>
                        </wps:spPr>
                        <wps:bodyPr wrap="square" upright="1"/>
                      </wps:wsp>
                      <wps:wsp>
                        <wps:cNvPr id="10" name="直线 1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1" name="直线 2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2" name="直线 2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3" name="直线 2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4" name="直线 2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5" name="直线 2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6" name="文本框 25"/>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7" name="文本框 26"/>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8" name="直线 2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9" name="直线 2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2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3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3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3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3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3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3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3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3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3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3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4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4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4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4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5" name="直线 4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4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4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4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4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0" name="文本框 49"/>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wrap="square" upright="1"/>
                      </wps:wsp>
                      <wps:wsp>
                        <wps:cNvPr id="41" name="文本框 50"/>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wrap="square" upright="1"/>
                      </wps:wsp>
                    </wpg:wgp>
                  </a:graphicData>
                </a:graphic>
              </wp:anchor>
            </w:drawing>
          </mc:Choice>
          <mc:Fallback>
            <w:pict>
              <v:group id="组合 17"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">
                <o:lock v:ext="edit" rotation="t" aspectratio="t"/>
                <v:rect id="图片 18" o:spid="_x0000_s1026" o:spt="1" style="position:absolute;left:1800;top:2142;height:9672;width:900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19" o:spid="_x0000_s1026" o:spt="20" style="position:absolute;left:2700;top:3078;height:1;width:594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20" o:spid="_x0000_s1026" o:spt="20" style="position:absolute;left:2685;top:3078;height:8424;width:15;"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21" o:spid="_x0000_s1026" o:spt="20" style="position:absolute;left:2700;top:7134;height:0;width:612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22" o:spid="_x0000_s1026" o:spt="20" style="position:absolute;left:2700;top:11502;height:0;width:648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23" o:spid="_x0000_s1026" o:spt="20" style="position:absolute;left:6300;top:3075;height:4056;width:1;" filled="f" stroked="t" coordsize="21600,21600" o:gfxdata="UEsDBAoAAAAAAIdO4kAAAAAAAAAAAAAAAAAEAAAAZHJzL1BLAwQUAAAACACHTuJAkgaCnrsAAADb&#10;AAAADwAAAGRycy9kb3ducmV2LnhtbEVPzWrCQBC+F/oOyxS81U1qK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aCn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24" o:spid="_x0000_s1026" o:spt="20" style="position:absolute;left:6300;top:7134;height:4368;width:0;"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shape id="文本框 25" o:spid="_x0000_s1026" o:spt="202" type="#_x0000_t202" style="position:absolute;left:7920;top:2687;height:780;width:2880;"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26" o:spid="_x0000_s1026" o:spt="202" type="#_x0000_t202" style="position:absolute;left:7920;top:6726;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27" o:spid="_x0000_s1026" o:spt="20" style="position:absolute;left:288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312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9" o:spid="_x0000_s1026" o:spt="20" style="position:absolute;left:336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0" o:spid="_x0000_s1026" o:spt="20" style="position:absolute;left:360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1" o:spid="_x0000_s1026" o:spt="20" style="position:absolute;left:384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40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43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4" o:spid="_x0000_s1026" o:spt="20" style="position:absolute;left:45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5" o:spid="_x0000_s1026" o:spt="20" style="position:absolute;left:478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6" o:spid="_x0000_s1026" o:spt="20" style="position:absolute;left:502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7" o:spid="_x0000_s1026" o:spt="20" style="position:absolute;left:526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8" o:spid="_x0000_s1026" o:spt="20" style="position:absolute;left:550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9" o:spid="_x0000_s1026" o:spt="20" style="position:absolute;left:574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0" o:spid="_x0000_s1026" o:spt="20" style="position:absolute;left:598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1" o:spid="_x0000_s1026" o:spt="20" style="position:absolute;left:622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2" o:spid="_x0000_s1026" o:spt="20" style="position:absolute;left:646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3" o:spid="_x0000_s1026" o:spt="20" style="position:absolute;left:668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4" o:spid="_x0000_s1026" o:spt="20" style="position:absolute;left:692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5" o:spid="_x0000_s1026" o:spt="20" style="position:absolute;left:716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6" o:spid="_x0000_s1026" o:spt="20" style="position:absolute;left:740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7" o:spid="_x0000_s1026" o:spt="20" style="position:absolute;left:764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8" o:spid="_x0000_s1026" o:spt="20" style="position:absolute;left:2700;top:7129;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49" o:spid="_x0000_s1026" o:spt="202" type="#_x0000_t202" style="position:absolute;left:6510;top:4743;height:780;width:2520;" fillcolor="#FFFFFF" filled="t" stroked="f" coordsize="21600,21600" o:gfxdata="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hh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rPr>
                        </w:pPr>
                        <w:r>
                          <w:t>h=   m</w:t>
                        </w:r>
                      </w:p>
                    </w:txbxContent>
                  </v:textbox>
                </v:shape>
                <v:shape id="文本框 50" o:spid="_x0000_s1026" o:spt="202" type="#_x0000_t202" style="position:absolute;left:6510;top:900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hint="default" w:ascii="Times New Roman" w:hAnsi="Times New Roman" w:eastAsia="黑体" w:cs="Times New Roman"/>
          <w:sz w:val="36"/>
          <w:szCs w:val="36"/>
        </w:rPr>
        <w:drawing>
          <wp:inline distT="0" distB="0" distL="114300" distR="114300">
            <wp:extent cx="5715000" cy="6124575"/>
            <wp:effectExtent l="0" t="0" r="0" b="0"/>
            <wp:docPr id="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
                    <pic:cNvPicPr>
                      <a:picLocks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eastAsia="黑体" w:cs="Times New Roman"/>
          <w:sz w:val="36"/>
          <w:szCs w:val="36"/>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采用的高程系：</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cs="Times New Roman"/>
        </w:rPr>
      </w:pPr>
      <w:r>
        <w:rPr>
          <w:rFonts w:hint="default" w:ascii="Times New Roman" w:hAnsi="Times New Roman" w:cs="Times New Roman"/>
        </w:rPr>
        <w:t xml:space="preserve">比例尺：1： </w:t>
      </w:r>
      <w:r>
        <w:rPr>
          <w:rFonts w:hint="default" w:ascii="Times New Roman" w:hAnsi="Times New Roman" w:cs="Times New Roman"/>
          <w:u w:val="single"/>
        </w:rPr>
        <w:t xml:space="preserve">             </w:t>
      </w:r>
      <w:r>
        <w:rPr>
          <w:rFonts w:hint="default" w:ascii="Times New Roman" w:hAnsi="Times New Roman" w:cs="Times New Roman"/>
        </w:rPr>
        <w:t xml:space="preserve">               </w:t>
      </w:r>
    </w:p>
    <w:p>
      <w:pPr>
        <w:jc w:val="center"/>
        <w:rPr>
          <w:rFonts w:hint="default" w:ascii="Times New Roman" w:hAnsi="Times New Roman" w:eastAsia="黑体" w:cs="Times New Roman"/>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u w:val="single"/>
        </w:rPr>
      </w:pPr>
      <w:r>
        <w:rPr>
          <w:rFonts w:hint="default" w:ascii="Times New Roman" w:hAnsi="Times New Roman" w:eastAsia="黑体" w:cs="Times New Roman"/>
        </w:rPr>
        <w:t>附件3</w:t>
      </w:r>
    </w:p>
    <w:p>
      <w:pPr>
        <w:pStyle w:val="3"/>
        <w:rPr>
          <w:rFonts w:hint="default" w:ascii="Times New Roman" w:hAnsi="Times New Roman" w:eastAsia="黑体" w:cs="Times New Roman"/>
        </w:rPr>
      </w:pPr>
      <w:r>
        <w:rPr>
          <w:rFonts w:hint="default" w:ascii="Times New Roman" w:hAnsi="Times New Roman" w:eastAsia="黑体" w:cs="Times New Roman"/>
          <w:u w:val="single"/>
        </w:rPr>
        <w:t xml:space="preserve">       </w:t>
      </w:r>
      <w:r>
        <w:rPr>
          <w:rFonts w:hint="default" w:ascii="Times New Roman" w:hAnsi="Times New Roman" w:eastAsia="黑体" w:cs="Times New Roman"/>
        </w:rPr>
        <w:t>市(县)政府规划管理部门确定的出让宗地规划条件</w:t>
      </w:r>
    </w:p>
    <w:p>
      <w:pPr>
        <w:pStyle w:val="9"/>
        <w:ind w:firstLine="0"/>
        <w:rPr>
          <w:rFonts w:hint="default" w:ascii="Times New Roman" w:hAnsi="Times New Roman" w:eastAsia="仿宋" w:cs="Times New Roman"/>
          <w:sz w:val="32"/>
          <w:szCs w:val="32"/>
        </w:rPr>
      </w:pPr>
    </w:p>
    <w:p/>
    <w:sectPr>
      <w:footerReference r:id="rId4" w:type="default"/>
      <w:pgSz w:w="11906" w:h="16838"/>
      <w:pgMar w:top="1440" w:right="1133" w:bottom="1440" w:left="15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w6wO+8QBAABxAwAADgAAAAAAAAABACAAAAAeAQAAZHJzL2Uyb0RvYy54bWxQ&#10;SwUGAAAAAAYABgBZAQAAVAUAAAAA&#10;">
              <v:fill on="f" focussize="0,0"/>
              <v:stroke on="f"/>
              <v:imagedata o:title=""/>
              <o:lock v:ext="edit" aspectratio="f"/>
              <v:textbox inset="0mm,0mm,0mm,0mm" style="mso-fit-shape-to-text:t;">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513E4"/>
    <w:rsid w:val="5665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hAnsi="Courier New"/>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2021-12-28T01:13:00Z</dcterms:created>
  <dc:creator>杨惠丹</dc:creator>
  <cp:lastModifiedBy>杨惠丹</cp:lastModifiedBy>
  <dcterms:modified xsi:type="dcterms:W3CDTF">2021-12-28T01:14:26Z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