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32"/>
          <w:szCs w:val="32"/>
        </w:rPr>
      </w:pPr>
      <w:r>
        <w:pict>
          <v:shape id="_x0000_s1026" o:spid="_x0000_s1026" o:spt="202" type="#_x0000_t202" style="position:absolute;left:0pt;margin-left:1.9pt;margin-top:-31.45pt;height:73.95pt;width:456.9pt;mso-position-horizontal-relative:margin;z-index:251664384;mso-width-relative:page;mso-height-relative:page;" filled="f" stroked="t" coordsize="21600,21600" o:gfxdata="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vv0NgAAAAIAQAADwAAAAAAAAABACAAAAAiAAAAZHJzL2Rvd25yZXYueG1s&#10;UEsBAhQAFAAAAAgAh07iQEXUlpExAgAARgQAAA4AAAAAAAAAAQAgAAAAJwEAAGRycy9lMm9Eb2Mu&#10;eG1sUEsFBgAAAAAGAAYAWQEAAMoFAAAAAA==&#10;">
            <v:path/>
            <v:fill on="f" focussize="0,0"/>
            <v:stroke color="#FFFFFF" joinstyle="round"/>
            <v:imagedata o:title=""/>
            <o:lock v:ext="edit"/>
            <v:textbox>
              <w:txbxContent>
                <w:p>
                  <w:pPr>
                    <w:spacing w:line="0" w:lineRule="atLeast"/>
                    <w:jc w:val="distribute"/>
                    <w:rPr>
                      <w:rFonts w:ascii="方正小标宋简体" w:hAnsi="华文中宋" w:eastAsia="方正小标宋简体"/>
                      <w:color w:val="EF7139"/>
                      <w:spacing w:val="80"/>
                      <w:w w:val="70"/>
                      <w:sz w:val="96"/>
                      <w:szCs w:val="96"/>
                    </w:rPr>
                  </w:pPr>
                  <w:r>
                    <w:rPr>
                      <w:rFonts w:hint="eastAsia" w:ascii="方正小标宋简体" w:hAnsi="华文中宋" w:eastAsia="方正小标宋简体"/>
                      <w:color w:val="EF7139"/>
                      <w:spacing w:val="80"/>
                      <w:w w:val="70"/>
                      <w:sz w:val="96"/>
                      <w:szCs w:val="96"/>
                    </w:rPr>
                    <w:t>惠州市自然资源局</w:t>
                  </w:r>
                </w:p>
                <w:p>
                  <w:pPr>
                    <w:spacing w:line="0" w:lineRule="atLeast"/>
                    <w:jc w:val="distribute"/>
                    <w:rPr>
                      <w:rFonts w:ascii="方正小标宋简体" w:hAnsi="华文中宋" w:eastAsia="方正小标宋简体"/>
                      <w:color w:val="EF7139"/>
                      <w:spacing w:val="80"/>
                      <w:w w:val="70"/>
                      <w:sz w:val="96"/>
                      <w:szCs w:val="96"/>
                    </w:rPr>
                  </w:pPr>
                </w:p>
              </w:txbxContent>
            </v:textbox>
          </v:shape>
        </w:pict>
      </w:r>
    </w:p>
    <w:p>
      <w:pPr>
        <w:spacing w:line="560" w:lineRule="exact"/>
        <w:rPr>
          <w:rFonts w:ascii="宋体"/>
          <w:sz w:val="32"/>
          <w:szCs w:val="32"/>
        </w:rPr>
      </w:pPr>
      <w:r>
        <w:pict>
          <v:line id="Line 2" o:spid="_x0000_s1028" o:spt="20" style="position:absolute;left:0pt;margin-left:-12.75pt;margin-top:21.65pt;height:0pt;width:470.25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">
            <v:path arrowok="t"/>
            <v:fill focussize="0,0"/>
            <v:stroke weight="6pt" color="#EF7139" linestyle="thickThin"/>
            <v:imagedata o:title=""/>
            <o:lock v:ext="edit"/>
          </v:line>
        </w:pict>
      </w:r>
    </w:p>
    <w:p>
      <w:pPr>
        <w:wordWrap w:val="0"/>
        <w:spacing w:line="560" w:lineRule="exact"/>
        <w:ind w:firstLine="6400" w:firstLineChars="2000"/>
        <w:rPr>
          <w:rFonts w:ascii="宋体"/>
          <w:sz w:val="32"/>
          <w:szCs w:val="32"/>
        </w:rPr>
      </w:pPr>
      <w:r>
        <w:rPr>
          <w:rFonts w:hint="eastAsia" w:ascii="仿宋_GB2312" w:hAnsi="仿宋_GB2312" w:eastAsia="仿宋_GB2312" w:cs="仿宋_GB2312"/>
          <w:sz w:val="32"/>
          <w:szCs w:val="32"/>
        </w:rPr>
        <w:t>PB202000</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号</w:t>
      </w:r>
    </w:p>
    <w:p>
      <w:pPr>
        <w:spacing w:line="560" w:lineRule="exact"/>
        <w:jc w:val="right"/>
        <w:rPr>
          <w:rFonts w:ascii="宋体"/>
          <w:sz w:val="32"/>
          <w:szCs w:val="32"/>
        </w:rPr>
      </w:pPr>
    </w:p>
    <w:p>
      <w:pPr>
        <w:spacing w:line="560" w:lineRule="exac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建设用地规划设计条件</w:t>
      </w:r>
    </w:p>
    <w:p>
      <w:pPr>
        <w:spacing w:line="560" w:lineRule="exact"/>
        <w:jc w:val="center"/>
        <w:rPr>
          <w:rFonts w:ascii="宋体"/>
          <w:sz w:val="32"/>
        </w:rPr>
      </w:pPr>
    </w:p>
    <w:p>
      <w:pPr>
        <w:spacing w:line="500" w:lineRule="exact"/>
        <w:ind w:firstLine="640" w:firstLineChars="200"/>
        <w:rPr>
          <w:rFonts w:eastAsia="仿宋_GB2312"/>
          <w:sz w:val="32"/>
          <w:szCs w:val="32"/>
        </w:rPr>
      </w:pPr>
      <w:r>
        <w:rPr>
          <w:rFonts w:hint="eastAsia" w:eastAsia="仿宋_GB2312"/>
          <w:sz w:val="32"/>
          <w:szCs w:val="32"/>
        </w:rPr>
        <w:t>根据市政府年度土地出让计划，拟依法公开出让位于南部新城东区8-03-02地块，现出具规划设计条件。</w:t>
      </w:r>
    </w:p>
    <w:p>
      <w:pPr>
        <w:spacing w:line="500" w:lineRule="exact"/>
        <w:ind w:firstLine="640" w:firstLineChars="200"/>
        <w:rPr>
          <w:rFonts w:hint="eastAsia" w:eastAsia="仿宋_GB2312"/>
          <w:sz w:val="32"/>
          <w:szCs w:val="32"/>
          <w:lang w:eastAsia="zh-CN"/>
        </w:rPr>
      </w:pPr>
      <w:r>
        <w:rPr>
          <w:rFonts w:hint="eastAsia" w:eastAsia="仿宋_GB2312"/>
          <w:sz w:val="32"/>
          <w:szCs w:val="32"/>
        </w:rPr>
        <w:t>根据《南部新城东区8-03-02地块控制性详细规划（调整）》《惠州市城乡规划管理技术规定》，并结合《广东省人民政府关于印发广东省降低制造业企业成本支持实体经济发展若干政策措施（修订版）的通知》（粤府〔</w:t>
      </w:r>
      <w:r>
        <w:rPr>
          <w:rFonts w:eastAsia="仿宋_GB2312"/>
          <w:sz w:val="32"/>
          <w:szCs w:val="32"/>
        </w:rPr>
        <w:t>2018</w:t>
      </w:r>
      <w:r>
        <w:rPr>
          <w:rFonts w:hint="eastAsia" w:eastAsia="仿宋_GB2312"/>
          <w:sz w:val="32"/>
          <w:szCs w:val="32"/>
        </w:rPr>
        <w:t>〕</w:t>
      </w:r>
      <w:r>
        <w:rPr>
          <w:rFonts w:eastAsia="仿宋_GB2312"/>
          <w:sz w:val="32"/>
          <w:szCs w:val="32"/>
        </w:rPr>
        <w:t>79</w:t>
      </w:r>
      <w:r>
        <w:rPr>
          <w:rFonts w:hint="eastAsia" w:eastAsia="仿宋_GB2312"/>
          <w:sz w:val="32"/>
          <w:szCs w:val="32"/>
        </w:rPr>
        <w:t>号）和惠州市促进实体经济高质量发展的相关政策文件，《惠州市新型产业用地（M0）管理暂行办法》(送审稿），南部新城东区</w:t>
      </w:r>
      <w:r>
        <w:rPr>
          <w:rFonts w:eastAsia="仿宋_GB2312"/>
          <w:sz w:val="32"/>
          <w:szCs w:val="32"/>
        </w:rPr>
        <w:t>8-03-02</w:t>
      </w:r>
      <w:r>
        <w:rPr>
          <w:rFonts w:hint="eastAsia" w:eastAsia="仿宋_GB2312"/>
          <w:sz w:val="32"/>
          <w:szCs w:val="32"/>
        </w:rPr>
        <w:t>地块的规划设计条件如下：</w:t>
      </w:r>
    </w:p>
    <w:p>
      <w:pPr>
        <w:spacing w:line="500" w:lineRule="exact"/>
        <w:ind w:firstLine="640" w:firstLineChars="200"/>
        <w:rPr>
          <w:rFonts w:eastAsia="仿宋_GB2312"/>
          <w:sz w:val="32"/>
          <w:szCs w:val="32"/>
        </w:rPr>
      </w:pPr>
      <w:r>
        <w:rPr>
          <w:rFonts w:hint="eastAsia" w:eastAsia="仿宋_GB2312"/>
          <w:sz w:val="32"/>
          <w:szCs w:val="32"/>
        </w:rPr>
        <w:t>一、规划指标（详见图则）：</w:t>
      </w:r>
    </w:p>
    <w:tbl>
      <w:tblPr>
        <w:tblStyle w:val="8"/>
        <w:tblW w:w="89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88"/>
        <w:gridCol w:w="48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tcBorders>
              <w:top w:val="single" w:color="auto" w:sz="4" w:space="0"/>
            </w:tcBorders>
            <w:vAlign w:val="center"/>
          </w:tcPr>
          <w:p>
            <w:pPr>
              <w:spacing w:line="500" w:lineRule="exact"/>
              <w:jc w:val="center"/>
              <w:rPr>
                <w:rFonts w:eastAsia="仿宋_GB2312"/>
                <w:sz w:val="32"/>
                <w:szCs w:val="32"/>
              </w:rPr>
            </w:pPr>
            <w:r>
              <w:rPr>
                <w:rFonts w:hint="eastAsia" w:eastAsia="仿宋_GB2312"/>
                <w:sz w:val="32"/>
                <w:szCs w:val="32"/>
              </w:rPr>
              <w:t>用地编号</w:t>
            </w:r>
          </w:p>
        </w:tc>
        <w:tc>
          <w:tcPr>
            <w:tcW w:w="4894" w:type="dxa"/>
            <w:tcBorders>
              <w:top w:val="single" w:color="auto" w:sz="4" w:space="0"/>
            </w:tcBorders>
            <w:vAlign w:val="center"/>
          </w:tcPr>
          <w:p>
            <w:pPr>
              <w:spacing w:line="500" w:lineRule="exact"/>
              <w:ind w:right="640"/>
              <w:jc w:val="center"/>
              <w:rPr>
                <w:rFonts w:eastAsia="仿宋_GB2312"/>
                <w:sz w:val="32"/>
                <w:szCs w:val="32"/>
              </w:rPr>
            </w:pPr>
            <w:r>
              <w:rPr>
                <w:rFonts w:hint="eastAsia" w:eastAsia="仿宋_GB2312"/>
                <w:sz w:val="32"/>
                <w:szCs w:val="32"/>
              </w:rPr>
              <w:t xml:space="preserve">      </w:t>
            </w:r>
            <w:r>
              <w:rPr>
                <w:rFonts w:eastAsia="仿宋_GB2312"/>
                <w:sz w:val="32"/>
                <w:szCs w:val="32"/>
              </w:rPr>
              <w:t>8-03-02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tcBorders>
              <w:top w:val="single" w:color="auto" w:sz="4" w:space="0"/>
            </w:tcBorders>
            <w:vAlign w:val="center"/>
          </w:tcPr>
          <w:p>
            <w:pPr>
              <w:spacing w:line="500" w:lineRule="exact"/>
              <w:jc w:val="center"/>
              <w:rPr>
                <w:rFonts w:eastAsia="仿宋_GB2312"/>
                <w:sz w:val="32"/>
                <w:szCs w:val="32"/>
              </w:rPr>
            </w:pPr>
            <w:r>
              <w:rPr>
                <w:rFonts w:hint="eastAsia" w:eastAsia="仿宋_GB2312"/>
                <w:sz w:val="32"/>
                <w:szCs w:val="32"/>
              </w:rPr>
              <w:t>规划用地性质</w:t>
            </w:r>
          </w:p>
        </w:tc>
        <w:tc>
          <w:tcPr>
            <w:tcW w:w="4894" w:type="dxa"/>
            <w:tcBorders>
              <w:top w:val="single" w:color="auto" w:sz="4" w:space="0"/>
            </w:tcBorders>
            <w:vAlign w:val="center"/>
          </w:tcPr>
          <w:p>
            <w:pPr>
              <w:spacing w:line="500" w:lineRule="exact"/>
              <w:ind w:right="640"/>
              <w:jc w:val="center"/>
              <w:rPr>
                <w:rFonts w:eastAsia="仿宋_GB2312"/>
                <w:sz w:val="32"/>
                <w:szCs w:val="32"/>
              </w:rPr>
            </w:pPr>
            <w:r>
              <w:rPr>
                <w:rFonts w:hint="eastAsia" w:eastAsia="仿宋_GB2312"/>
                <w:sz w:val="32"/>
                <w:szCs w:val="32"/>
              </w:rPr>
              <w:t xml:space="preserve">      新型产业用地（M0）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tcBorders>
              <w:top w:val="single" w:color="auto" w:sz="4" w:space="0"/>
            </w:tcBorders>
            <w:vAlign w:val="center"/>
          </w:tcPr>
          <w:p>
            <w:pPr>
              <w:spacing w:line="500" w:lineRule="exact"/>
              <w:jc w:val="center"/>
              <w:rPr>
                <w:rFonts w:eastAsia="仿宋_GB2312"/>
                <w:sz w:val="32"/>
                <w:szCs w:val="32"/>
              </w:rPr>
            </w:pPr>
            <w:r>
              <w:rPr>
                <w:rFonts w:hint="eastAsia" w:eastAsia="仿宋_GB2312"/>
                <w:sz w:val="32"/>
                <w:szCs w:val="32"/>
              </w:rPr>
              <w:t>用地兼容性</w:t>
            </w:r>
          </w:p>
        </w:tc>
        <w:tc>
          <w:tcPr>
            <w:tcW w:w="4894" w:type="dxa"/>
            <w:tcBorders>
              <w:top w:val="single" w:color="auto" w:sz="4" w:space="0"/>
            </w:tcBorders>
            <w:vAlign w:val="center"/>
          </w:tcPr>
          <w:p>
            <w:pPr>
              <w:spacing w:line="500" w:lineRule="exact"/>
              <w:ind w:right="640"/>
              <w:jc w:val="center"/>
              <w:rPr>
                <w:rFonts w:eastAsia="仿宋_GB2312"/>
                <w:sz w:val="32"/>
                <w:szCs w:val="32"/>
              </w:rPr>
            </w:pPr>
            <w:r>
              <w:rPr>
                <w:rFonts w:hint="eastAsia" w:eastAsia="仿宋_GB2312"/>
                <w:sz w:val="32"/>
                <w:szCs w:val="32"/>
              </w:rPr>
              <w:t xml:space="preserve">     R2、B1、B2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vAlign w:val="center"/>
          </w:tcPr>
          <w:p>
            <w:pPr>
              <w:spacing w:line="500" w:lineRule="exact"/>
              <w:jc w:val="center"/>
              <w:rPr>
                <w:rFonts w:eastAsia="仿宋_GB2312"/>
                <w:sz w:val="32"/>
                <w:szCs w:val="32"/>
              </w:rPr>
            </w:pPr>
            <w:r>
              <w:rPr>
                <w:rFonts w:hint="eastAsia" w:eastAsia="仿宋_GB2312"/>
                <w:sz w:val="32"/>
                <w:szCs w:val="32"/>
              </w:rPr>
              <w:t>计算指标用地面积</w:t>
            </w:r>
            <w:r>
              <w:rPr>
                <w:rFonts w:eastAsia="仿宋_GB2312"/>
                <w:sz w:val="32"/>
                <w:szCs w:val="32"/>
              </w:rPr>
              <w:t>（㎡）</w:t>
            </w:r>
          </w:p>
        </w:tc>
        <w:tc>
          <w:tcPr>
            <w:tcW w:w="4894" w:type="dxa"/>
            <w:vAlign w:val="center"/>
          </w:tcPr>
          <w:p>
            <w:pPr>
              <w:spacing w:line="500" w:lineRule="exact"/>
              <w:ind w:right="640"/>
              <w:jc w:val="center"/>
              <w:rPr>
                <w:rFonts w:eastAsia="仿宋_GB2312"/>
                <w:sz w:val="32"/>
                <w:szCs w:val="32"/>
              </w:rPr>
            </w:pPr>
            <w:r>
              <w:rPr>
                <w:rFonts w:hint="eastAsia" w:eastAsia="仿宋_GB2312"/>
                <w:sz w:val="32"/>
                <w:szCs w:val="32"/>
              </w:rPr>
              <w:t xml:space="preserve">    </w:t>
            </w:r>
            <w:r>
              <w:rPr>
                <w:rFonts w:eastAsia="仿宋_GB2312"/>
                <w:sz w:val="32"/>
                <w:szCs w:val="32"/>
              </w:rPr>
              <w:t>64760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vAlign w:val="center"/>
          </w:tcPr>
          <w:p>
            <w:pPr>
              <w:spacing w:line="500" w:lineRule="exact"/>
              <w:jc w:val="center"/>
              <w:rPr>
                <w:rFonts w:eastAsia="仿宋_GB2312"/>
                <w:sz w:val="32"/>
                <w:szCs w:val="32"/>
              </w:rPr>
            </w:pPr>
            <w:r>
              <w:rPr>
                <w:rFonts w:hint="eastAsia" w:eastAsia="仿宋_GB2312"/>
                <w:sz w:val="32"/>
                <w:szCs w:val="32"/>
              </w:rPr>
              <w:t>容积率</w:t>
            </w:r>
          </w:p>
        </w:tc>
        <w:tc>
          <w:tcPr>
            <w:tcW w:w="4894" w:type="dxa"/>
            <w:vAlign w:val="center"/>
          </w:tcPr>
          <w:p>
            <w:pPr>
              <w:spacing w:line="500" w:lineRule="exact"/>
              <w:ind w:right="16"/>
              <w:jc w:val="center"/>
              <w:rPr>
                <w:rFonts w:eastAsia="仿宋_GB2312"/>
                <w:sz w:val="32"/>
                <w:szCs w:val="32"/>
              </w:rPr>
            </w:pPr>
            <w:r>
              <w:rPr>
                <w:rFonts w:hint="eastAsia" w:eastAsia="仿宋_GB2312"/>
                <w:sz w:val="32"/>
                <w:szCs w:val="32"/>
              </w:rPr>
              <w:t>2.5-</w:t>
            </w:r>
            <w:r>
              <w:rPr>
                <w:rFonts w:eastAsia="仿宋_GB2312"/>
                <w:sz w:val="32"/>
                <w:szCs w:val="32"/>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088" w:type="dxa"/>
            <w:vMerge w:val="restart"/>
            <w:vAlign w:val="center"/>
          </w:tcPr>
          <w:p>
            <w:pPr>
              <w:spacing w:line="500" w:lineRule="exact"/>
              <w:jc w:val="center"/>
              <w:rPr>
                <w:rFonts w:eastAsia="仿宋_GB2312"/>
                <w:sz w:val="32"/>
                <w:szCs w:val="32"/>
              </w:rPr>
            </w:pPr>
            <w:r>
              <w:rPr>
                <w:rFonts w:hint="eastAsia" w:eastAsia="仿宋_GB2312"/>
                <w:sz w:val="32"/>
                <w:szCs w:val="32"/>
              </w:rPr>
              <w:t>计容积率建筑面积</w:t>
            </w:r>
            <w:r>
              <w:rPr>
                <w:rFonts w:eastAsia="仿宋_GB2312"/>
                <w:sz w:val="32"/>
                <w:szCs w:val="32"/>
              </w:rPr>
              <w:t>（㎡）</w:t>
            </w:r>
          </w:p>
        </w:tc>
        <w:tc>
          <w:tcPr>
            <w:tcW w:w="4894" w:type="dxa"/>
            <w:vAlign w:val="center"/>
          </w:tcPr>
          <w:p>
            <w:pPr>
              <w:autoSpaceDE w:val="0"/>
              <w:autoSpaceDN w:val="0"/>
              <w:adjustRightInd w:val="0"/>
              <w:jc w:val="center"/>
              <w:rPr>
                <w:rFonts w:eastAsia="仿宋_GB2312"/>
                <w:sz w:val="32"/>
                <w:szCs w:val="32"/>
              </w:rPr>
            </w:pPr>
            <w:r>
              <w:rPr>
                <w:rFonts w:eastAsia="仿宋_GB2312"/>
                <w:sz w:val="32"/>
                <w:szCs w:val="32"/>
              </w:rPr>
              <w:t>161900</w:t>
            </w:r>
            <w:r>
              <w:rPr>
                <w:rFonts w:hint="eastAsia" w:eastAsia="仿宋_GB2312"/>
                <w:sz w:val="32"/>
                <w:szCs w:val="32"/>
              </w:rPr>
              <w:t>-</w:t>
            </w:r>
            <w:r>
              <w:rPr>
                <w:rFonts w:eastAsia="仿宋_GB2312"/>
                <w:sz w:val="32"/>
                <w:szCs w:val="32"/>
              </w:rPr>
              <w:t>259040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1" w:hRule="atLeast"/>
          <w:jc w:val="center"/>
        </w:trPr>
        <w:tc>
          <w:tcPr>
            <w:tcW w:w="4088" w:type="dxa"/>
            <w:vMerge w:val="continue"/>
            <w:vAlign w:val="center"/>
          </w:tcPr>
          <w:p>
            <w:pPr>
              <w:spacing w:line="500" w:lineRule="exact"/>
              <w:jc w:val="center"/>
              <w:rPr>
                <w:rFonts w:eastAsia="仿宋_GB2312"/>
                <w:sz w:val="32"/>
                <w:szCs w:val="32"/>
              </w:rPr>
            </w:pPr>
          </w:p>
        </w:tc>
        <w:tc>
          <w:tcPr>
            <w:tcW w:w="4894" w:type="dxa"/>
            <w:vAlign w:val="center"/>
          </w:tcPr>
          <w:p>
            <w:pPr>
              <w:spacing w:line="500" w:lineRule="exact"/>
              <w:jc w:val="left"/>
              <w:rPr>
                <w:rFonts w:eastAsia="仿宋_GB2312"/>
                <w:sz w:val="32"/>
                <w:szCs w:val="32"/>
              </w:rPr>
            </w:pPr>
            <w:r>
              <w:rPr>
                <w:rFonts w:hint="eastAsia" w:eastAsia="仿宋_GB2312"/>
                <w:sz w:val="32"/>
                <w:szCs w:val="32"/>
              </w:rPr>
              <w:t>其中产业用房建筑面积的比例≥</w:t>
            </w:r>
            <w:r>
              <w:rPr>
                <w:rFonts w:eastAsia="仿宋_GB2312"/>
                <w:sz w:val="32"/>
                <w:szCs w:val="32"/>
              </w:rPr>
              <w:t>60%</w:t>
            </w:r>
            <w:r>
              <w:rPr>
                <w:rFonts w:hint="eastAsia" w:eastAsia="仿宋_GB2312"/>
                <w:sz w:val="32"/>
                <w:szCs w:val="32"/>
              </w:rPr>
              <w:t>，住宅、商业和商务建筑面积的比例≤</w:t>
            </w:r>
            <w:r>
              <w:rPr>
                <w:rFonts w:eastAsia="仿宋_GB2312"/>
                <w:sz w:val="32"/>
                <w:szCs w:val="32"/>
              </w:rPr>
              <w:t>30%</w:t>
            </w:r>
            <w:r>
              <w:rPr>
                <w:rFonts w:hint="eastAsia" w:eastAsia="仿宋_GB2312"/>
                <w:sz w:val="32"/>
                <w:szCs w:val="32"/>
              </w:rPr>
              <w:t>，配套用房建筑面积的比例≤</w:t>
            </w:r>
            <w:r>
              <w:rPr>
                <w:rFonts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vAlign w:val="center"/>
          </w:tcPr>
          <w:p>
            <w:pPr>
              <w:spacing w:line="500" w:lineRule="exact"/>
              <w:jc w:val="center"/>
              <w:rPr>
                <w:rFonts w:eastAsia="仿宋_GB2312"/>
                <w:sz w:val="32"/>
                <w:szCs w:val="32"/>
              </w:rPr>
            </w:pPr>
            <w:r>
              <w:rPr>
                <w:rFonts w:hint="eastAsia" w:eastAsia="仿宋_GB2312"/>
                <w:sz w:val="32"/>
                <w:szCs w:val="32"/>
              </w:rPr>
              <w:t>建筑密度</w:t>
            </w:r>
            <w:r>
              <w:rPr>
                <w:rFonts w:eastAsia="仿宋_GB2312"/>
                <w:sz w:val="32"/>
                <w:szCs w:val="32"/>
              </w:rPr>
              <w:t>（%）</w:t>
            </w:r>
          </w:p>
        </w:tc>
        <w:tc>
          <w:tcPr>
            <w:tcW w:w="4894" w:type="dxa"/>
            <w:vAlign w:val="center"/>
          </w:tcPr>
          <w:p>
            <w:pPr>
              <w:spacing w:line="500" w:lineRule="exact"/>
              <w:ind w:right="16"/>
              <w:jc w:val="center"/>
              <w:rPr>
                <w:rFonts w:eastAsia="仿宋_GB2312"/>
                <w:sz w:val="32"/>
                <w:szCs w:val="32"/>
              </w:rPr>
            </w:pPr>
            <w:r>
              <w:rPr>
                <w:rFonts w:hint="eastAsia" w:eastAsia="仿宋_GB2312"/>
                <w:sz w:val="32"/>
                <w:szCs w:val="32"/>
              </w:rPr>
              <w:t>≤</w:t>
            </w:r>
            <w:r>
              <w:rPr>
                <w:rFonts w:eastAsia="仿宋_GB2312"/>
                <w:sz w:val="32"/>
                <w:szCs w:val="32"/>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vAlign w:val="center"/>
          </w:tcPr>
          <w:p>
            <w:pPr>
              <w:spacing w:line="500" w:lineRule="exact"/>
              <w:jc w:val="center"/>
              <w:rPr>
                <w:rFonts w:eastAsia="仿宋_GB2312"/>
                <w:sz w:val="32"/>
                <w:szCs w:val="32"/>
              </w:rPr>
            </w:pPr>
            <w:r>
              <w:rPr>
                <w:rFonts w:hint="eastAsia" w:eastAsia="仿宋_GB2312"/>
                <w:sz w:val="32"/>
                <w:szCs w:val="32"/>
              </w:rPr>
              <w:t>建筑高度控制（m）</w:t>
            </w:r>
          </w:p>
        </w:tc>
        <w:tc>
          <w:tcPr>
            <w:tcW w:w="4894" w:type="dxa"/>
            <w:vAlign w:val="center"/>
          </w:tcPr>
          <w:p>
            <w:pPr>
              <w:spacing w:line="500" w:lineRule="exact"/>
              <w:ind w:right="16"/>
              <w:jc w:val="center"/>
              <w:rPr>
                <w:rFonts w:eastAsia="仿宋_GB2312"/>
                <w:sz w:val="32"/>
                <w:szCs w:val="32"/>
              </w:rPr>
            </w:pPr>
            <w:r>
              <w:rPr>
                <w:rFonts w:hint="eastAsia" w:eastAsia="仿宋_GB2312"/>
                <w:sz w:val="32"/>
                <w:szCs w:val="32"/>
              </w:rPr>
              <w:t>≤168（其中住宅≤100）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088" w:type="dxa"/>
            <w:vAlign w:val="center"/>
          </w:tcPr>
          <w:p>
            <w:pPr>
              <w:spacing w:line="500" w:lineRule="exact"/>
              <w:jc w:val="center"/>
              <w:rPr>
                <w:rFonts w:eastAsia="仿宋_GB2312"/>
                <w:sz w:val="32"/>
                <w:szCs w:val="32"/>
              </w:rPr>
            </w:pPr>
            <w:r>
              <w:rPr>
                <w:rFonts w:hint="eastAsia" w:eastAsia="仿宋_GB2312"/>
                <w:sz w:val="32"/>
                <w:szCs w:val="32"/>
              </w:rPr>
              <w:t>绿地率</w:t>
            </w:r>
            <w:r>
              <w:rPr>
                <w:rFonts w:eastAsia="仿宋_GB2312"/>
                <w:sz w:val="32"/>
                <w:szCs w:val="32"/>
              </w:rPr>
              <w:t>（%）</w:t>
            </w:r>
          </w:p>
        </w:tc>
        <w:tc>
          <w:tcPr>
            <w:tcW w:w="4894" w:type="dxa"/>
            <w:vAlign w:val="center"/>
          </w:tcPr>
          <w:p>
            <w:pPr>
              <w:spacing w:line="500" w:lineRule="exact"/>
              <w:ind w:right="16"/>
              <w:jc w:val="center"/>
              <w:rPr>
                <w:rFonts w:eastAsia="仿宋_GB2312"/>
                <w:sz w:val="32"/>
                <w:szCs w:val="32"/>
              </w:rPr>
            </w:pPr>
            <w:r>
              <w:rPr>
                <w:rFonts w:eastAsia="仿宋_GB2312"/>
                <w:sz w:val="32"/>
                <w:szCs w:val="32"/>
              </w:rPr>
              <w:t>20</w:t>
            </w:r>
            <w:r>
              <w:rPr>
                <w:rFonts w:hint="eastAsia" w:eastAsia="仿宋_GB2312"/>
                <w:sz w:val="32"/>
                <w:szCs w:val="32"/>
              </w:rPr>
              <w:t>-2</w:t>
            </w:r>
            <w:r>
              <w:rPr>
                <w:rFonts w:eastAsia="仿宋_GB2312"/>
                <w:sz w:val="32"/>
                <w:szCs w:val="32"/>
              </w:rPr>
              <w:t>5</w:t>
            </w:r>
          </w:p>
        </w:tc>
      </w:tr>
    </w:tbl>
    <w:p>
      <w:pPr>
        <w:spacing w:line="500" w:lineRule="exact"/>
        <w:rPr>
          <w:rFonts w:eastAsia="仿宋_GB2312"/>
          <w:sz w:val="32"/>
          <w:szCs w:val="32"/>
        </w:rPr>
      </w:pPr>
    </w:p>
    <w:p>
      <w:pPr>
        <w:ind w:left="2" w:firstLine="636" w:firstLineChars="199"/>
        <w:rPr>
          <w:rFonts w:eastAsia="仿宋_GB2312"/>
          <w:sz w:val="32"/>
          <w:szCs w:val="32"/>
        </w:rPr>
      </w:pPr>
      <w:r>
        <w:rPr>
          <w:rFonts w:hint="eastAsia" w:eastAsia="仿宋_GB2312"/>
          <w:sz w:val="32"/>
          <w:szCs w:val="32"/>
        </w:rPr>
        <w:t>二、规划要求</w:t>
      </w:r>
    </w:p>
    <w:p>
      <w:pPr>
        <w:spacing w:line="500" w:lineRule="exact"/>
        <w:ind w:firstLine="636" w:firstLineChars="199"/>
        <w:rPr>
          <w:rFonts w:eastAsia="仿宋_GB2312"/>
          <w:sz w:val="32"/>
          <w:szCs w:val="32"/>
        </w:rPr>
      </w:pPr>
      <w:r>
        <w:rPr>
          <w:rFonts w:hint="eastAsia" w:eastAsia="仿宋_GB2312"/>
          <w:sz w:val="32"/>
          <w:szCs w:val="32"/>
        </w:rPr>
        <w:t>（一）总体布局要求（详见图则）</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4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3652" w:type="dxa"/>
            <w:tcBorders>
              <w:top w:val="single" w:color="auto" w:sz="4" w:space="0"/>
            </w:tcBorders>
            <w:vAlign w:val="center"/>
          </w:tcPr>
          <w:p>
            <w:pPr>
              <w:spacing w:line="500" w:lineRule="exact"/>
              <w:jc w:val="center"/>
              <w:textAlignment w:val="center"/>
              <w:rPr>
                <w:rFonts w:eastAsia="仿宋_GB2312"/>
                <w:sz w:val="32"/>
                <w:szCs w:val="32"/>
              </w:rPr>
            </w:pPr>
            <w:r>
              <w:rPr>
                <w:rFonts w:hint="eastAsia" w:eastAsia="仿宋_GB2312"/>
                <w:sz w:val="32"/>
                <w:szCs w:val="32"/>
              </w:rPr>
              <w:t>用地编号</w:t>
            </w:r>
          </w:p>
        </w:tc>
        <w:tc>
          <w:tcPr>
            <w:tcW w:w="5462" w:type="dxa"/>
            <w:tcBorders>
              <w:top w:val="single" w:color="auto" w:sz="4" w:space="0"/>
            </w:tcBorders>
            <w:vAlign w:val="center"/>
          </w:tcPr>
          <w:p>
            <w:pPr>
              <w:spacing w:line="500" w:lineRule="exact"/>
              <w:jc w:val="center"/>
              <w:rPr>
                <w:rFonts w:eastAsia="仿宋_GB2312"/>
                <w:sz w:val="32"/>
                <w:szCs w:val="32"/>
              </w:rPr>
            </w:pPr>
            <w:r>
              <w:rPr>
                <w:rFonts w:eastAsia="仿宋_GB2312"/>
                <w:sz w:val="32"/>
                <w:szCs w:val="32"/>
              </w:rPr>
              <w:t>8-03-02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3652" w:type="dxa"/>
            <w:tcBorders>
              <w:top w:val="single" w:color="auto" w:sz="4" w:space="0"/>
            </w:tcBorders>
            <w:vAlign w:val="center"/>
          </w:tcPr>
          <w:p>
            <w:pPr>
              <w:spacing w:line="500" w:lineRule="exact"/>
              <w:jc w:val="center"/>
              <w:textAlignment w:val="center"/>
              <w:rPr>
                <w:rFonts w:eastAsia="仿宋_GB2312"/>
                <w:sz w:val="32"/>
                <w:szCs w:val="32"/>
              </w:rPr>
            </w:pPr>
            <w:r>
              <w:rPr>
                <w:rFonts w:hint="eastAsia" w:eastAsia="仿宋_GB2312"/>
                <w:sz w:val="32"/>
                <w:szCs w:val="32"/>
              </w:rPr>
              <w:t>多层建筑距离</w:t>
            </w:r>
          </w:p>
        </w:tc>
        <w:tc>
          <w:tcPr>
            <w:tcW w:w="5462" w:type="dxa"/>
            <w:tcBorders>
              <w:top w:val="single" w:color="auto" w:sz="4" w:space="0"/>
            </w:tcBorders>
          </w:tcPr>
          <w:p>
            <w:pPr>
              <w:spacing w:line="500" w:lineRule="exact"/>
              <w:jc w:val="left"/>
              <w:rPr>
                <w:rFonts w:eastAsia="仿宋_GB2312"/>
                <w:sz w:val="32"/>
                <w:szCs w:val="32"/>
              </w:rPr>
            </w:pPr>
            <w:r>
              <w:rPr>
                <w:rFonts w:hint="eastAsia" w:eastAsia="仿宋_GB2312"/>
                <w:sz w:val="32"/>
                <w:szCs w:val="32"/>
              </w:rPr>
              <w:t>沿三环南路一侧退道路红线</w:t>
            </w:r>
            <w:r>
              <w:rPr>
                <w:rFonts w:eastAsia="仿宋_GB2312"/>
                <w:sz w:val="32"/>
                <w:szCs w:val="32"/>
              </w:rPr>
              <w:t>35</w:t>
            </w:r>
            <w:r>
              <w:rPr>
                <w:rFonts w:hint="eastAsia" w:eastAsia="仿宋_GB2312"/>
                <w:sz w:val="32"/>
                <w:szCs w:val="32"/>
              </w:rPr>
              <w:t>米，沿东侧现状</w:t>
            </w:r>
            <w:bookmarkStart w:id="0" w:name="_GoBack"/>
            <w:bookmarkEnd w:id="0"/>
            <w:r>
              <w:rPr>
                <w:rFonts w:hint="eastAsia" w:eastAsia="仿宋_GB2312"/>
                <w:sz w:val="32"/>
                <w:szCs w:val="32"/>
              </w:rPr>
              <w:t>1</w:t>
            </w:r>
            <w:r>
              <w:rPr>
                <w:rFonts w:eastAsia="仿宋_GB2312"/>
                <w:sz w:val="32"/>
                <w:szCs w:val="32"/>
              </w:rPr>
              <w:t>10KV</w:t>
            </w:r>
            <w:r>
              <w:rPr>
                <w:rFonts w:hint="eastAsia" w:eastAsia="仿宋_GB2312"/>
                <w:sz w:val="32"/>
                <w:szCs w:val="32"/>
              </w:rPr>
              <w:t>高压线一侧退高压线</w:t>
            </w:r>
            <w:r>
              <w:rPr>
                <w:rFonts w:eastAsia="仿宋_GB2312"/>
                <w:sz w:val="32"/>
                <w:szCs w:val="32"/>
              </w:rPr>
              <w:t>15</w:t>
            </w:r>
            <w:r>
              <w:rPr>
                <w:rFonts w:hint="eastAsia" w:eastAsia="仿宋_GB2312"/>
                <w:sz w:val="32"/>
                <w:szCs w:val="32"/>
              </w:rPr>
              <w:t>米，沿南侧2</w:t>
            </w:r>
            <w:r>
              <w:rPr>
                <w:rFonts w:eastAsia="仿宋_GB2312"/>
                <w:sz w:val="32"/>
                <w:szCs w:val="32"/>
              </w:rPr>
              <w:t>4</w:t>
            </w:r>
            <w:r>
              <w:rPr>
                <w:rFonts w:hint="eastAsia" w:eastAsia="仿宋_GB2312"/>
                <w:sz w:val="32"/>
                <w:szCs w:val="32"/>
              </w:rPr>
              <w:t>米宽规划高湖路一侧退道路红线1</w:t>
            </w:r>
            <w:r>
              <w:rPr>
                <w:rFonts w:eastAsia="仿宋_GB2312"/>
                <w:sz w:val="32"/>
                <w:szCs w:val="32"/>
              </w:rPr>
              <w:t>0</w:t>
            </w:r>
            <w:r>
              <w:rPr>
                <w:rFonts w:hint="eastAsia" w:eastAsia="仿宋_GB2312"/>
                <w:sz w:val="32"/>
                <w:szCs w:val="32"/>
              </w:rPr>
              <w:t>米，沿西侧1</w:t>
            </w:r>
            <w:r>
              <w:rPr>
                <w:rFonts w:eastAsia="仿宋_GB2312"/>
                <w:sz w:val="32"/>
                <w:szCs w:val="32"/>
              </w:rPr>
              <w:t>5</w:t>
            </w:r>
            <w:r>
              <w:rPr>
                <w:rFonts w:hint="eastAsia" w:eastAsia="仿宋_GB2312"/>
                <w:sz w:val="32"/>
                <w:szCs w:val="32"/>
              </w:rPr>
              <w:t>米宽规划密路网一侧退道路红线</w:t>
            </w:r>
            <w:r>
              <w:rPr>
                <w:rFonts w:eastAsia="仿宋_GB2312"/>
                <w:sz w:val="32"/>
                <w:szCs w:val="32"/>
              </w:rPr>
              <w:t>5</w:t>
            </w:r>
            <w:r>
              <w:rPr>
                <w:rFonts w:hint="eastAsia" w:eastAsia="仿宋_GB2312"/>
                <w:sz w:val="32"/>
                <w:szCs w:val="32"/>
              </w:rPr>
              <w:t>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114" w:type="dxa"/>
            <w:gridSpan w:val="2"/>
          </w:tcPr>
          <w:p>
            <w:pPr>
              <w:spacing w:line="500" w:lineRule="exact"/>
              <w:jc w:val="center"/>
              <w:rPr>
                <w:rFonts w:eastAsia="仿宋_GB2312"/>
                <w:sz w:val="32"/>
                <w:szCs w:val="32"/>
              </w:rPr>
            </w:pPr>
            <w:r>
              <w:rPr>
                <w:rFonts w:hint="eastAsia" w:eastAsia="仿宋_GB2312"/>
                <w:sz w:val="32"/>
                <w:szCs w:val="32"/>
              </w:rPr>
              <w:t>临36米及以下宽度的城市道路，高层建筑距离在多层建筑距离的基础上加退5米。</w:t>
            </w:r>
          </w:p>
          <w:p>
            <w:pPr>
              <w:spacing w:line="500" w:lineRule="exact"/>
              <w:jc w:val="center"/>
              <w:rPr>
                <w:rFonts w:eastAsia="仿宋_GB2312"/>
                <w:sz w:val="32"/>
                <w:szCs w:val="32"/>
              </w:rPr>
            </w:pPr>
            <w:r>
              <w:rPr>
                <w:rFonts w:hint="eastAsia" w:eastAsia="仿宋_GB2312"/>
                <w:sz w:val="32"/>
                <w:szCs w:val="32"/>
              </w:rPr>
              <w:t>临用地界线一侧高层建筑距离距离应在多层建筑距离的基础上加退5米。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652" w:type="dxa"/>
          </w:tcPr>
          <w:p>
            <w:pPr>
              <w:spacing w:line="500" w:lineRule="exact"/>
              <w:jc w:val="center"/>
              <w:rPr>
                <w:rFonts w:eastAsia="仿宋_GB2312"/>
                <w:sz w:val="32"/>
                <w:szCs w:val="32"/>
              </w:rPr>
            </w:pPr>
            <w:r>
              <w:rPr>
                <w:rFonts w:hint="eastAsia" w:eastAsia="仿宋_GB2312"/>
                <w:sz w:val="32"/>
                <w:szCs w:val="32"/>
              </w:rPr>
              <w:t>人行出入口开口方位</w:t>
            </w:r>
          </w:p>
        </w:tc>
        <w:tc>
          <w:tcPr>
            <w:tcW w:w="5462" w:type="dxa"/>
          </w:tcPr>
          <w:p>
            <w:pPr>
              <w:spacing w:line="500" w:lineRule="exact"/>
              <w:jc w:val="center"/>
              <w:rPr>
                <w:rFonts w:eastAsia="仿宋_GB2312"/>
                <w:sz w:val="32"/>
                <w:szCs w:val="32"/>
              </w:rPr>
            </w:pPr>
            <w:r>
              <w:rPr>
                <w:rFonts w:hint="eastAsia" w:eastAsia="仿宋_GB2312"/>
                <w:sz w:val="32"/>
                <w:szCs w:val="32"/>
              </w:rPr>
              <w:t>见图则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652" w:type="dxa"/>
            <w:tcBorders>
              <w:bottom w:val="single" w:color="auto" w:sz="4" w:space="0"/>
            </w:tcBorders>
          </w:tcPr>
          <w:p>
            <w:pPr>
              <w:spacing w:line="500" w:lineRule="exact"/>
              <w:jc w:val="center"/>
              <w:rPr>
                <w:rFonts w:eastAsia="仿宋_GB2312"/>
                <w:sz w:val="32"/>
                <w:szCs w:val="32"/>
              </w:rPr>
            </w:pPr>
            <w:r>
              <w:rPr>
                <w:rFonts w:hint="eastAsia" w:eastAsia="仿宋_GB2312"/>
                <w:sz w:val="32"/>
                <w:szCs w:val="32"/>
              </w:rPr>
              <w:t>机动车出入口开口方位</w:t>
            </w:r>
          </w:p>
        </w:tc>
        <w:tc>
          <w:tcPr>
            <w:tcW w:w="5462" w:type="dxa"/>
            <w:tcBorders>
              <w:bottom w:val="single" w:color="auto" w:sz="4" w:space="0"/>
            </w:tcBorders>
          </w:tcPr>
          <w:p>
            <w:pPr>
              <w:spacing w:line="500" w:lineRule="exact"/>
              <w:jc w:val="center"/>
              <w:rPr>
                <w:rFonts w:eastAsia="仿宋_GB2312"/>
                <w:sz w:val="32"/>
                <w:szCs w:val="32"/>
              </w:rPr>
            </w:pPr>
            <w:r>
              <w:rPr>
                <w:rFonts w:hint="eastAsia" w:eastAsia="仿宋_GB2312"/>
                <w:sz w:val="32"/>
                <w:szCs w:val="32"/>
              </w:rPr>
              <w:t>见图则</w:t>
            </w:r>
          </w:p>
        </w:tc>
      </w:tr>
    </w:tbl>
    <w:p>
      <w:pPr>
        <w:spacing w:line="500" w:lineRule="exact"/>
        <w:ind w:firstLine="640" w:firstLineChars="200"/>
        <w:rPr>
          <w:rFonts w:eastAsia="仿宋_GB2312"/>
          <w:sz w:val="32"/>
          <w:szCs w:val="32"/>
        </w:rPr>
      </w:pPr>
      <w:r>
        <w:rPr>
          <w:rFonts w:hint="eastAsia" w:eastAsia="仿宋_GB2312"/>
          <w:sz w:val="32"/>
          <w:szCs w:val="32"/>
        </w:rPr>
        <w:t>（二）配套设施要求</w:t>
      </w:r>
    </w:p>
    <w:p>
      <w:pPr>
        <w:spacing w:line="500" w:lineRule="exact"/>
        <w:ind w:firstLine="640" w:firstLineChars="200"/>
        <w:rPr>
          <w:rFonts w:eastAsia="仿宋_GB2312"/>
          <w:sz w:val="32"/>
          <w:szCs w:val="32"/>
        </w:rPr>
      </w:pPr>
      <w:r>
        <w:rPr>
          <w:rFonts w:hint="eastAsia" w:eastAsia="仿宋_GB2312"/>
          <w:sz w:val="32"/>
          <w:szCs w:val="32"/>
        </w:rPr>
        <w:t>市政基础设施设计要求：本用地的排水设计应实施雨污分流，给排水、电力、电信、燃气等管线须与城市市政管网衔接，管线工程设计须与总平面图设计同步进行、同步报审。</w:t>
      </w:r>
    </w:p>
    <w:p>
      <w:pPr>
        <w:spacing w:line="500" w:lineRule="exact"/>
        <w:ind w:firstLine="640" w:firstLineChars="200"/>
        <w:rPr>
          <w:rFonts w:eastAsia="仿宋_GB2312"/>
          <w:sz w:val="32"/>
          <w:szCs w:val="32"/>
        </w:rPr>
      </w:pPr>
      <w:r>
        <w:rPr>
          <w:rFonts w:hint="eastAsia" w:eastAsia="仿宋_GB2312"/>
          <w:sz w:val="32"/>
          <w:szCs w:val="32"/>
        </w:rPr>
        <w:t>（三）机动车停车位配建标准</w:t>
      </w:r>
    </w:p>
    <w:p>
      <w:pPr>
        <w:spacing w:line="500" w:lineRule="exact"/>
        <w:ind w:firstLine="640" w:firstLineChars="200"/>
        <w:rPr>
          <w:rFonts w:eastAsia="仿宋_GB2312"/>
          <w:sz w:val="32"/>
          <w:szCs w:val="32"/>
        </w:rPr>
      </w:pPr>
      <w:r>
        <w:rPr>
          <w:rFonts w:hint="eastAsia" w:eastAsia="仿宋_GB2312"/>
          <w:sz w:val="32"/>
          <w:szCs w:val="32"/>
        </w:rPr>
        <w:t>产业及配套设施建筑每100平方米计容积率建筑面积≥0.5个，停车场须按不低于</w:t>
      </w:r>
      <w:r>
        <w:rPr>
          <w:rFonts w:eastAsia="仿宋_GB2312"/>
          <w:sz w:val="32"/>
          <w:szCs w:val="32"/>
        </w:rPr>
        <w:t>10%</w:t>
      </w:r>
      <w:r>
        <w:rPr>
          <w:rFonts w:hint="eastAsia" w:eastAsia="仿宋_GB2312"/>
          <w:sz w:val="32"/>
          <w:szCs w:val="32"/>
        </w:rPr>
        <w:t>的比例配置充电桩。</w:t>
      </w:r>
    </w:p>
    <w:p>
      <w:pPr>
        <w:spacing w:line="500" w:lineRule="exact"/>
        <w:ind w:firstLine="640" w:firstLineChars="200"/>
        <w:rPr>
          <w:rFonts w:eastAsia="仿宋_GB2312"/>
          <w:sz w:val="32"/>
          <w:szCs w:val="32"/>
        </w:rPr>
      </w:pPr>
      <w:r>
        <w:rPr>
          <w:rFonts w:hint="eastAsia" w:eastAsia="仿宋_GB2312"/>
          <w:sz w:val="32"/>
          <w:szCs w:val="32"/>
        </w:rPr>
        <w:t>住宅、商业和商务建筑每100平方米计容积率建筑面积≥1个。新建</w:t>
      </w:r>
      <w:r>
        <w:rPr>
          <w:rFonts w:eastAsia="仿宋_GB2312"/>
          <w:sz w:val="32"/>
          <w:szCs w:val="32"/>
        </w:rPr>
        <w:t>住宅配建停车位</w:t>
      </w:r>
      <w:r>
        <w:rPr>
          <w:rFonts w:hint="eastAsia" w:eastAsia="仿宋_GB2312"/>
          <w:sz w:val="32"/>
          <w:szCs w:val="32"/>
        </w:rPr>
        <w:t>必须</w:t>
      </w:r>
      <w:r>
        <w:rPr>
          <w:rFonts w:eastAsia="仿宋_GB2312"/>
          <w:sz w:val="32"/>
          <w:szCs w:val="32"/>
        </w:rPr>
        <w:t>100%建设充电设施或预留</w:t>
      </w:r>
      <w:r>
        <w:rPr>
          <w:rFonts w:hint="eastAsia" w:eastAsia="仿宋_GB2312"/>
          <w:sz w:val="32"/>
          <w:szCs w:val="32"/>
        </w:rPr>
        <w:t>建设</w:t>
      </w:r>
      <w:r>
        <w:rPr>
          <w:rFonts w:eastAsia="仿宋_GB2312"/>
          <w:sz w:val="32"/>
          <w:szCs w:val="32"/>
        </w:rPr>
        <w:t>安装条件。商业</w:t>
      </w:r>
      <w:r>
        <w:rPr>
          <w:rFonts w:hint="eastAsia" w:eastAsia="仿宋_GB2312"/>
          <w:sz w:val="32"/>
          <w:szCs w:val="32"/>
        </w:rPr>
        <w:t>、</w:t>
      </w:r>
      <w:r>
        <w:rPr>
          <w:rFonts w:eastAsia="仿宋_GB2312"/>
          <w:sz w:val="32"/>
          <w:szCs w:val="32"/>
        </w:rPr>
        <w:t>商务建筑配建停车位应</w:t>
      </w:r>
      <w:r>
        <w:rPr>
          <w:rFonts w:hint="eastAsia" w:eastAsia="仿宋_GB2312"/>
          <w:sz w:val="32"/>
          <w:szCs w:val="32"/>
        </w:rPr>
        <w:t>不低于20</w:t>
      </w:r>
      <w:r>
        <w:rPr>
          <w:rFonts w:eastAsia="仿宋_GB2312"/>
          <w:sz w:val="32"/>
          <w:szCs w:val="32"/>
        </w:rPr>
        <w:t>%建设充电设施或预留建设安装条件</w:t>
      </w:r>
      <w:r>
        <w:rPr>
          <w:rFonts w:hint="eastAsia" w:eastAsia="仿宋_GB2312"/>
          <w:sz w:val="32"/>
          <w:szCs w:val="32"/>
        </w:rPr>
        <w:t>。</w:t>
      </w:r>
    </w:p>
    <w:p>
      <w:pPr>
        <w:spacing w:line="500" w:lineRule="exact"/>
        <w:ind w:firstLine="640" w:firstLineChars="200"/>
        <w:rPr>
          <w:rFonts w:eastAsia="仿宋_GB2312"/>
          <w:sz w:val="32"/>
          <w:szCs w:val="32"/>
        </w:rPr>
      </w:pPr>
      <w:r>
        <w:rPr>
          <w:rFonts w:hint="eastAsia" w:eastAsia="仿宋_GB2312"/>
          <w:sz w:val="32"/>
          <w:szCs w:val="32"/>
        </w:rPr>
        <w:t>（四）其它要求</w:t>
      </w:r>
    </w:p>
    <w:p>
      <w:pPr>
        <w:spacing w:line="5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.M0项目中兼容的住宅必须符合《城市居住区规划设计标准》（GB50180-2018）的要求。</w:t>
      </w:r>
    </w:p>
    <w:p>
      <w:pPr>
        <w:spacing w:line="500" w:lineRule="exact"/>
        <w:ind w:firstLine="640" w:firstLineChars="200"/>
        <w:rPr>
          <w:rFonts w:eastAsia="仿宋_GB2312"/>
          <w:sz w:val="32"/>
          <w:szCs w:val="32"/>
        </w:rPr>
      </w:pPr>
      <w:r>
        <w:rPr>
          <w:rFonts w:hint="eastAsia" w:eastAsia="仿宋_GB2312"/>
          <w:sz w:val="32"/>
          <w:szCs w:val="32"/>
        </w:rPr>
        <w:t>2.建筑群的整体轮廓线应与城市自然环境特征相协调，应强调疏密有致、高低错落和富有韵律感。</w:t>
      </w:r>
    </w:p>
    <w:p>
      <w:pPr>
        <w:spacing w:line="500" w:lineRule="exact"/>
        <w:ind w:firstLine="640" w:firstLineChars="200"/>
        <w:rPr>
          <w:rFonts w:eastAsia="仿宋_GB2312"/>
          <w:sz w:val="32"/>
          <w:szCs w:val="32"/>
        </w:rPr>
      </w:pPr>
      <w:r>
        <w:rPr>
          <w:rFonts w:hint="eastAsia" w:eastAsia="仿宋_GB2312"/>
          <w:sz w:val="32"/>
          <w:szCs w:val="32"/>
        </w:rPr>
        <w:t>3.居住、商业和商务建筑、配套建筑以及产业建筑宜分区建设，住宅建筑应相对集中在地块西南角建设。</w:t>
      </w:r>
    </w:p>
    <w:p>
      <w:pPr>
        <w:spacing w:line="500" w:lineRule="exact"/>
        <w:ind w:firstLine="640" w:firstLineChars="200"/>
        <w:rPr>
          <w:rFonts w:eastAsia="仿宋_GB2312"/>
          <w:sz w:val="32"/>
          <w:szCs w:val="32"/>
        </w:rPr>
      </w:pPr>
      <w:r>
        <w:rPr>
          <w:rFonts w:hint="eastAsia" w:eastAsia="仿宋_GB2312"/>
          <w:sz w:val="32"/>
          <w:szCs w:val="32"/>
        </w:rPr>
        <w:t>4.建筑退让空间要求：临规划城市道路一侧建筑红线与道路红线之间的用地须作为景观绿地型公共空间，由用地权属单位自建，但应服从城市规划建设的需要，建成后由政府统一管理，并纳入城市公共开放空间。</w:t>
      </w:r>
    </w:p>
    <w:p>
      <w:pPr>
        <w:spacing w:line="5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辅道为示意性道路，具体以实施为准。</w:t>
      </w:r>
    </w:p>
    <w:p>
      <w:pPr>
        <w:spacing w:line="50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弹性道路可结合项目建设具体规划设计方案进行调整，并开放给公众使用。</w:t>
      </w:r>
    </w:p>
    <w:p>
      <w:pPr>
        <w:spacing w:line="50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本用地位于四环南路与惠澳大道交界处，处于重要的城市景观地带，总平面及建筑设计方案须做多方案比选（须≥3个方案），报惠州市城乡规划委员会审议。</w:t>
      </w:r>
    </w:p>
    <w:p>
      <w:pPr>
        <w:spacing w:line="50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.园区生活污水按要求排放至市政管网接污水处理厂处理，若市政管网未完善，则须设置污水处理设施并达标排放，工业废水排放标准依环保部门意见为准。</w:t>
      </w:r>
    </w:p>
    <w:p>
      <w:pPr>
        <w:spacing w:line="50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本项目应采取海绵城市建设相关措施，年径流总量控制率为65%，下凹式绿地率≥50%，透水铺装率≥50%，绿色屋顶率20%。除年径流总量控制率外，其余指标只是引导性指标，实际设计时，在保证年径流总量控制率达标的基础上，可进行调整。</w:t>
      </w:r>
    </w:p>
    <w:p>
      <w:pPr>
        <w:spacing w:line="50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.本项目建筑按照《绿色工业建筑评价标准》（GB/T50878-2013）、《绿色建筑评价标准》（GB/T 50378-2019），须执行一星级及以上绿色建筑标准。</w:t>
      </w:r>
    </w:p>
    <w:p>
      <w:pPr>
        <w:spacing w:line="500" w:lineRule="exact"/>
        <w:ind w:firstLine="640" w:firstLineChars="200"/>
        <w:rPr>
          <w:rFonts w:eastAsia="仿宋_GB2312"/>
          <w:sz w:val="32"/>
          <w:szCs w:val="32"/>
        </w:rPr>
      </w:pPr>
      <w:r>
        <w:rPr>
          <w:rFonts w:hint="eastAsia" w:eastAsia="仿宋_GB2312"/>
          <w:sz w:val="32"/>
          <w:szCs w:val="32"/>
        </w:rPr>
        <w:t>11.本项目应按照《惠州市人民政府办公室关于大力发展装配式建筑的实施意见》（惠府办〔2019〕10号）的要求执行。</w:t>
      </w:r>
    </w:p>
    <w:p>
      <w:pPr>
        <w:spacing w:line="500" w:lineRule="exact"/>
        <w:ind w:firstLine="640" w:firstLineChars="200"/>
        <w:rPr>
          <w:rFonts w:eastAsia="仿宋_GB2312"/>
          <w:sz w:val="32"/>
          <w:szCs w:val="32"/>
        </w:rPr>
      </w:pPr>
      <w:r>
        <w:rPr>
          <w:rFonts w:hint="eastAsia" w:eastAsia="仿宋_GB2312"/>
          <w:sz w:val="32"/>
          <w:szCs w:val="32"/>
        </w:rPr>
        <w:t>12.室外地坪与沿街城市道路（人行道标高）高差小于90厘米。</w:t>
      </w:r>
    </w:p>
    <w:p>
      <w:pPr>
        <w:spacing w:line="500" w:lineRule="exact"/>
        <w:ind w:firstLine="640" w:firstLineChars="200"/>
        <w:rPr>
          <w:rFonts w:eastAsia="仿宋_GB2312"/>
          <w:sz w:val="32"/>
          <w:szCs w:val="32"/>
        </w:rPr>
      </w:pPr>
      <w:r>
        <w:rPr>
          <w:rFonts w:hint="eastAsia" w:eastAsia="仿宋_GB2312"/>
          <w:sz w:val="32"/>
          <w:szCs w:val="32"/>
        </w:rPr>
        <w:t>13.项目开工建设前须取得环保部门审批意见。</w:t>
      </w:r>
    </w:p>
    <w:p>
      <w:pPr>
        <w:spacing w:line="500" w:lineRule="exact"/>
        <w:ind w:firstLine="640" w:firstLineChars="200"/>
        <w:rPr>
          <w:rFonts w:eastAsia="仿宋_GB2312"/>
          <w:sz w:val="32"/>
          <w:szCs w:val="32"/>
        </w:rPr>
      </w:pPr>
      <w:r>
        <w:rPr>
          <w:rFonts w:hint="eastAsia" w:eastAsia="仿宋_GB2312"/>
          <w:sz w:val="32"/>
          <w:szCs w:val="32"/>
        </w:rPr>
        <w:t>14.其他未尽事宜须满足《惠州市城乡规划管理技术规定》及相关规范要求。</w:t>
      </w:r>
    </w:p>
    <w:p>
      <w:pPr>
        <w:spacing w:line="500" w:lineRule="exact"/>
        <w:ind w:firstLine="640" w:firstLineChars="200"/>
        <w:rPr>
          <w:rFonts w:eastAsia="仿宋_GB2312"/>
          <w:sz w:val="32"/>
          <w:szCs w:val="32"/>
        </w:rPr>
      </w:pPr>
      <w:r>
        <w:rPr>
          <w:rFonts w:hint="eastAsia" w:eastAsia="仿宋_GB2312"/>
          <w:sz w:val="32"/>
          <w:szCs w:val="32"/>
        </w:rPr>
        <w:t>三、</w:t>
      </w:r>
      <w:r>
        <w:rPr>
          <w:rFonts w:hint="eastAsia" w:eastAsia="仿宋_GB2312"/>
          <w:b/>
          <w:bCs/>
          <w:sz w:val="32"/>
          <w:szCs w:val="32"/>
        </w:rPr>
        <w:t>本《建设用地规划条件》自批准日期起一年内未使用的，须经市自然资源局核实后方可使用。</w:t>
      </w:r>
    </w:p>
    <w:p>
      <w:pPr>
        <w:spacing w:line="480" w:lineRule="exact"/>
        <w:rPr>
          <w:rFonts w:eastAsia="仿宋_GB2312"/>
          <w:sz w:val="32"/>
          <w:szCs w:val="32"/>
        </w:rPr>
      </w:pPr>
    </w:p>
    <w:p>
      <w:pPr>
        <w:spacing w:line="480" w:lineRule="exact"/>
        <w:ind w:firstLine="5120" w:firstLineChars="16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惠州市自然资源局        </w:t>
      </w:r>
    </w:p>
    <w:p>
      <w:pPr>
        <w:tabs>
          <w:tab w:val="left" w:pos="7665"/>
        </w:tabs>
        <w:spacing w:line="480" w:lineRule="exact"/>
        <w:ind w:firstLine="5760" w:firstLineChars="1800"/>
        <w:rPr>
          <w:rFonts w:ascii="宋体" w:eastAsia="仿宋_GB2312"/>
          <w:sz w:val="32"/>
          <w:szCs w:val="32"/>
        </w:rPr>
      </w:pPr>
      <w:r>
        <w:rPr>
          <w:rFonts w:hint="eastAsia" w:ascii="仿宋_GB2312" w:hAnsi="仿宋_GB2312" w:eastAsia="仿宋_GB2312" w:cs="仿宋_GB2312"/>
          <w:sz w:val="32"/>
          <w:szCs w:val="32"/>
        </w:rPr>
        <w:t>2020年5月</w:t>
      </w:r>
      <w:r>
        <w:rPr>
          <w:rFonts w:hint="eastAsia" w:ascii="仿宋_GB2312" w:hAnsi="仿宋_GB2312" w:eastAsia="仿宋_GB2312" w:cs="仿宋_GB2312"/>
          <w:color w:val="000000" w:themeColor="text1"/>
          <w:sz w:val="32"/>
          <w:szCs w:val="32"/>
        </w:rPr>
        <w:t>29</w:t>
      </w:r>
      <w:r>
        <w:rPr>
          <w:rFonts w:hint="eastAsia" w:ascii="仿宋_GB2312" w:hAnsi="仿宋_GB2312" w:eastAsia="仿宋_GB2312" w:cs="仿宋_GB2312"/>
          <w:sz w:val="32"/>
          <w:szCs w:val="32"/>
        </w:rPr>
        <w:t xml:space="preserve">日         </w:t>
      </w:r>
    </w:p>
    <w:p>
      <w:pPr>
        <w:spacing w:line="480" w:lineRule="exact"/>
        <w:rPr>
          <w:rFonts w:ascii="宋体"/>
          <w:sz w:val="32"/>
          <w:szCs w:val="32"/>
        </w:rPr>
      </w:pPr>
    </w:p>
    <w:p>
      <w:pPr>
        <w:spacing w:line="480" w:lineRule="exact"/>
        <w:rPr>
          <w:rFonts w:ascii="仿宋" w:hAnsi="仿宋" w:eastAsia="仿宋" w:cs="仿宋"/>
          <w:sz w:val="32"/>
          <w:szCs w:val="32"/>
        </w:rPr>
      </w:pPr>
      <w:r>
        <w:rPr>
          <w:rFonts w:hint="eastAsia" w:ascii="仿宋" w:hAnsi="仿宋" w:eastAsia="仿宋" w:cs="仿宋"/>
          <w:b/>
          <w:sz w:val="32"/>
          <w:szCs w:val="32"/>
        </w:rPr>
        <w:t>公开方式：</w:t>
      </w:r>
      <w:r>
        <w:rPr>
          <w:rFonts w:hint="eastAsia" w:ascii="仿宋" w:hAnsi="仿宋" w:eastAsia="仿宋" w:cs="仿宋"/>
          <w:sz w:val="32"/>
          <w:szCs w:val="32"/>
        </w:rPr>
        <w:t>依申请公开</w:t>
      </w:r>
    </w:p>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1474" w:gutter="0"/>
      <w:pgNumType w:start="1" w:chapStyle="1"/>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w:t>
    </w:r>
    <w:r>
      <w:fldChar w:fldCharType="begin"/>
    </w:r>
    <w:r>
      <w:instrText xml:space="preserve"> PAGE   \* MERGEFORMAT </w:instrText>
    </w:r>
    <w:r>
      <w:fldChar w:fldCharType="separate"/>
    </w:r>
    <w:r>
      <w:rPr>
        <w:lang w:val="zh-CN"/>
      </w:rPr>
      <w:t>7</w:t>
    </w:r>
    <w:r>
      <w:rPr>
        <w:lang w:val="zh-CN"/>
      </w:rPr>
      <w:fldChar w:fldCharType="end"/>
    </w:r>
    <w:r>
      <w:rPr>
        <w:rFonts w:hint="eastAsia"/>
      </w:rPr>
      <w:t>-</w:t>
    </w:r>
  </w:p>
  <w:p>
    <w:pPr>
      <w:pStyle w:val="5"/>
      <w:wordWrap w:val="0"/>
      <w:ind w:right="360" w:firstLine="280" w:firstLineChars="10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w:t>
    </w:r>
    <w:r>
      <w:fldChar w:fldCharType="begin"/>
    </w:r>
    <w:r>
      <w:instrText xml:space="preserve"> PAGE   \* MERGEFORMAT </w:instrText>
    </w:r>
    <w:r>
      <w:fldChar w:fldCharType="separate"/>
    </w:r>
    <w:r>
      <w:rPr>
        <w:lang w:val="zh-CN"/>
      </w:rPr>
      <w:t>6</w:t>
    </w:r>
    <w:r>
      <w:rPr>
        <w:lang w:val="zh-CN"/>
      </w:rPr>
      <w:fldChar w:fldCharType="end"/>
    </w:r>
    <w:r>
      <w:rPr>
        <w:rFonts w:hint="eastAsia"/>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w:t>
    </w:r>
    <w:r>
      <w:fldChar w:fldCharType="begin"/>
    </w:r>
    <w:r>
      <w:instrText xml:space="preserve"> PAGE   \* MERGEFORMAT </w:instrText>
    </w:r>
    <w:r>
      <w:fldChar w:fldCharType="separate"/>
    </w:r>
    <w:r>
      <w:rPr>
        <w:lang w:val="zh-CN"/>
      </w:rPr>
      <w:t>1</w:t>
    </w:r>
    <w:r>
      <w:rPr>
        <w:lang w:val="zh-CN"/>
      </w:rPr>
      <w:fldChar w:fldCharType="end"/>
    </w:r>
    <w:r>
      <w:rPr>
        <w:rFonts w:hint="eastAsia"/>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evenAndOddHeaders w:val="1"/>
  <w:drawingGridHorizontalSpacing w:val="105"/>
  <w:drawingGridVerticalSpacing w:val="57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29"/>
    <w:rsid w:val="00003B5D"/>
    <w:rsid w:val="000060D7"/>
    <w:rsid w:val="00007DC2"/>
    <w:rsid w:val="00011537"/>
    <w:rsid w:val="000115F3"/>
    <w:rsid w:val="00022ED5"/>
    <w:rsid w:val="00023A69"/>
    <w:rsid w:val="00024429"/>
    <w:rsid w:val="0002476D"/>
    <w:rsid w:val="000250E5"/>
    <w:rsid w:val="00027520"/>
    <w:rsid w:val="000278DC"/>
    <w:rsid w:val="00030279"/>
    <w:rsid w:val="00030498"/>
    <w:rsid w:val="000329BD"/>
    <w:rsid w:val="00034BCE"/>
    <w:rsid w:val="00037AF3"/>
    <w:rsid w:val="00040BCD"/>
    <w:rsid w:val="00041D63"/>
    <w:rsid w:val="00044080"/>
    <w:rsid w:val="00044DA1"/>
    <w:rsid w:val="0004546D"/>
    <w:rsid w:val="000516F4"/>
    <w:rsid w:val="000534B5"/>
    <w:rsid w:val="00053E87"/>
    <w:rsid w:val="00054E41"/>
    <w:rsid w:val="00056368"/>
    <w:rsid w:val="00061DF7"/>
    <w:rsid w:val="000647E4"/>
    <w:rsid w:val="00064C4B"/>
    <w:rsid w:val="000652DF"/>
    <w:rsid w:val="00066A94"/>
    <w:rsid w:val="00071176"/>
    <w:rsid w:val="00072BE9"/>
    <w:rsid w:val="00072C8A"/>
    <w:rsid w:val="00074E48"/>
    <w:rsid w:val="00077D97"/>
    <w:rsid w:val="00081255"/>
    <w:rsid w:val="00082FC8"/>
    <w:rsid w:val="0008392C"/>
    <w:rsid w:val="000860A9"/>
    <w:rsid w:val="000866C4"/>
    <w:rsid w:val="00092562"/>
    <w:rsid w:val="000A094F"/>
    <w:rsid w:val="000A0FDD"/>
    <w:rsid w:val="000A13B2"/>
    <w:rsid w:val="000A42A7"/>
    <w:rsid w:val="000A5899"/>
    <w:rsid w:val="000A6395"/>
    <w:rsid w:val="000A6C69"/>
    <w:rsid w:val="000B0600"/>
    <w:rsid w:val="000B073B"/>
    <w:rsid w:val="000B1666"/>
    <w:rsid w:val="000B2979"/>
    <w:rsid w:val="000B4276"/>
    <w:rsid w:val="000B5C86"/>
    <w:rsid w:val="000B6691"/>
    <w:rsid w:val="000B7D5D"/>
    <w:rsid w:val="000C2FB4"/>
    <w:rsid w:val="000C4C90"/>
    <w:rsid w:val="000C77B2"/>
    <w:rsid w:val="000D0430"/>
    <w:rsid w:val="000D5FA9"/>
    <w:rsid w:val="000D7AA7"/>
    <w:rsid w:val="000E0AA0"/>
    <w:rsid w:val="000E217C"/>
    <w:rsid w:val="000E26D5"/>
    <w:rsid w:val="000E5A14"/>
    <w:rsid w:val="000E5DD5"/>
    <w:rsid w:val="000F4137"/>
    <w:rsid w:val="000F5A23"/>
    <w:rsid w:val="000F68F2"/>
    <w:rsid w:val="000F7780"/>
    <w:rsid w:val="0010188B"/>
    <w:rsid w:val="00101E09"/>
    <w:rsid w:val="00102335"/>
    <w:rsid w:val="001030EB"/>
    <w:rsid w:val="001039D3"/>
    <w:rsid w:val="00103FE8"/>
    <w:rsid w:val="00105D09"/>
    <w:rsid w:val="00110D75"/>
    <w:rsid w:val="00110FEB"/>
    <w:rsid w:val="001124F1"/>
    <w:rsid w:val="0011308A"/>
    <w:rsid w:val="001138EA"/>
    <w:rsid w:val="001176F0"/>
    <w:rsid w:val="00120028"/>
    <w:rsid w:val="00124D35"/>
    <w:rsid w:val="00125300"/>
    <w:rsid w:val="00126F9B"/>
    <w:rsid w:val="00132C07"/>
    <w:rsid w:val="00134442"/>
    <w:rsid w:val="001407BC"/>
    <w:rsid w:val="00140ABD"/>
    <w:rsid w:val="00141DD9"/>
    <w:rsid w:val="00143D95"/>
    <w:rsid w:val="00144451"/>
    <w:rsid w:val="00144C5C"/>
    <w:rsid w:val="00144F25"/>
    <w:rsid w:val="00145071"/>
    <w:rsid w:val="001468BE"/>
    <w:rsid w:val="00146BF2"/>
    <w:rsid w:val="00151255"/>
    <w:rsid w:val="00153F49"/>
    <w:rsid w:val="00156B48"/>
    <w:rsid w:val="00157E6E"/>
    <w:rsid w:val="00157EE5"/>
    <w:rsid w:val="0016160E"/>
    <w:rsid w:val="00161F93"/>
    <w:rsid w:val="001625CA"/>
    <w:rsid w:val="00163A0D"/>
    <w:rsid w:val="001642CB"/>
    <w:rsid w:val="001653E9"/>
    <w:rsid w:val="001657D6"/>
    <w:rsid w:val="00171467"/>
    <w:rsid w:val="00172A27"/>
    <w:rsid w:val="00174C51"/>
    <w:rsid w:val="00175364"/>
    <w:rsid w:val="00175C16"/>
    <w:rsid w:val="00177136"/>
    <w:rsid w:val="00180AB4"/>
    <w:rsid w:val="0018210D"/>
    <w:rsid w:val="00182BF5"/>
    <w:rsid w:val="00183D85"/>
    <w:rsid w:val="00187FD7"/>
    <w:rsid w:val="00191AB1"/>
    <w:rsid w:val="00191BEA"/>
    <w:rsid w:val="00192A99"/>
    <w:rsid w:val="00192B88"/>
    <w:rsid w:val="00193070"/>
    <w:rsid w:val="00194D85"/>
    <w:rsid w:val="0019658A"/>
    <w:rsid w:val="00196FF2"/>
    <w:rsid w:val="0019765B"/>
    <w:rsid w:val="001A0680"/>
    <w:rsid w:val="001A1B38"/>
    <w:rsid w:val="001A4950"/>
    <w:rsid w:val="001A4954"/>
    <w:rsid w:val="001A4AB5"/>
    <w:rsid w:val="001A5D1B"/>
    <w:rsid w:val="001A68E2"/>
    <w:rsid w:val="001B3220"/>
    <w:rsid w:val="001B326C"/>
    <w:rsid w:val="001B4AC1"/>
    <w:rsid w:val="001B7F5C"/>
    <w:rsid w:val="001C1301"/>
    <w:rsid w:val="001C241D"/>
    <w:rsid w:val="001C342B"/>
    <w:rsid w:val="001C52BE"/>
    <w:rsid w:val="001D2C5A"/>
    <w:rsid w:val="001D305D"/>
    <w:rsid w:val="001D4416"/>
    <w:rsid w:val="001D661B"/>
    <w:rsid w:val="001D773A"/>
    <w:rsid w:val="001E1938"/>
    <w:rsid w:val="001E1BC9"/>
    <w:rsid w:val="001E2ABA"/>
    <w:rsid w:val="001E3351"/>
    <w:rsid w:val="001E58FA"/>
    <w:rsid w:val="001E6446"/>
    <w:rsid w:val="001E6E74"/>
    <w:rsid w:val="001E768A"/>
    <w:rsid w:val="001F33D7"/>
    <w:rsid w:val="001F407D"/>
    <w:rsid w:val="001F4BE8"/>
    <w:rsid w:val="001F59CA"/>
    <w:rsid w:val="001F6E3B"/>
    <w:rsid w:val="001F6F97"/>
    <w:rsid w:val="001F79B9"/>
    <w:rsid w:val="00200004"/>
    <w:rsid w:val="0020002F"/>
    <w:rsid w:val="00202887"/>
    <w:rsid w:val="0020528E"/>
    <w:rsid w:val="00210DA7"/>
    <w:rsid w:val="002110F7"/>
    <w:rsid w:val="00212A4D"/>
    <w:rsid w:val="00213D44"/>
    <w:rsid w:val="00213EC7"/>
    <w:rsid w:val="0021618C"/>
    <w:rsid w:val="00216633"/>
    <w:rsid w:val="00222B1C"/>
    <w:rsid w:val="0022581B"/>
    <w:rsid w:val="00230BF9"/>
    <w:rsid w:val="00233A46"/>
    <w:rsid w:val="002343EA"/>
    <w:rsid w:val="00235808"/>
    <w:rsid w:val="00236CA2"/>
    <w:rsid w:val="0024169C"/>
    <w:rsid w:val="002417D3"/>
    <w:rsid w:val="00242BCC"/>
    <w:rsid w:val="00243633"/>
    <w:rsid w:val="00244A90"/>
    <w:rsid w:val="00244D33"/>
    <w:rsid w:val="0024680C"/>
    <w:rsid w:val="00252919"/>
    <w:rsid w:val="00254080"/>
    <w:rsid w:val="00254B19"/>
    <w:rsid w:val="00263338"/>
    <w:rsid w:val="002633CC"/>
    <w:rsid w:val="002634EA"/>
    <w:rsid w:val="00266FB9"/>
    <w:rsid w:val="00272E61"/>
    <w:rsid w:val="00273A58"/>
    <w:rsid w:val="00274517"/>
    <w:rsid w:val="00274F7E"/>
    <w:rsid w:val="00275242"/>
    <w:rsid w:val="00285AD5"/>
    <w:rsid w:val="0028632D"/>
    <w:rsid w:val="00286564"/>
    <w:rsid w:val="00287C2C"/>
    <w:rsid w:val="00290D90"/>
    <w:rsid w:val="0029528D"/>
    <w:rsid w:val="00295715"/>
    <w:rsid w:val="002A0813"/>
    <w:rsid w:val="002A0E57"/>
    <w:rsid w:val="002A25FA"/>
    <w:rsid w:val="002A286C"/>
    <w:rsid w:val="002A3EF9"/>
    <w:rsid w:val="002A436E"/>
    <w:rsid w:val="002A6865"/>
    <w:rsid w:val="002A7E7F"/>
    <w:rsid w:val="002B0B03"/>
    <w:rsid w:val="002B4C23"/>
    <w:rsid w:val="002B766D"/>
    <w:rsid w:val="002C0DA4"/>
    <w:rsid w:val="002C19A1"/>
    <w:rsid w:val="002C1CB3"/>
    <w:rsid w:val="002C352A"/>
    <w:rsid w:val="002C559B"/>
    <w:rsid w:val="002D04F0"/>
    <w:rsid w:val="002D114B"/>
    <w:rsid w:val="002D3F07"/>
    <w:rsid w:val="002D63DD"/>
    <w:rsid w:val="002D67B0"/>
    <w:rsid w:val="002D6B50"/>
    <w:rsid w:val="002D7459"/>
    <w:rsid w:val="002E0AF6"/>
    <w:rsid w:val="002E1B5E"/>
    <w:rsid w:val="002E210E"/>
    <w:rsid w:val="002E38F2"/>
    <w:rsid w:val="002E4E93"/>
    <w:rsid w:val="002E57E3"/>
    <w:rsid w:val="002F004C"/>
    <w:rsid w:val="002F04B4"/>
    <w:rsid w:val="002F1134"/>
    <w:rsid w:val="002F21F7"/>
    <w:rsid w:val="002F51D4"/>
    <w:rsid w:val="002F5EB7"/>
    <w:rsid w:val="002F6BA7"/>
    <w:rsid w:val="002F74DE"/>
    <w:rsid w:val="00300CC7"/>
    <w:rsid w:val="0030576F"/>
    <w:rsid w:val="003102B8"/>
    <w:rsid w:val="0031079E"/>
    <w:rsid w:val="0031186B"/>
    <w:rsid w:val="00311EF5"/>
    <w:rsid w:val="003121BE"/>
    <w:rsid w:val="003133DC"/>
    <w:rsid w:val="00314DFF"/>
    <w:rsid w:val="00320692"/>
    <w:rsid w:val="00323303"/>
    <w:rsid w:val="00323394"/>
    <w:rsid w:val="00323DC4"/>
    <w:rsid w:val="00324E11"/>
    <w:rsid w:val="0033199A"/>
    <w:rsid w:val="00332B3D"/>
    <w:rsid w:val="00332D2B"/>
    <w:rsid w:val="003334D3"/>
    <w:rsid w:val="00334403"/>
    <w:rsid w:val="0034083A"/>
    <w:rsid w:val="0034087D"/>
    <w:rsid w:val="00341625"/>
    <w:rsid w:val="00342DFC"/>
    <w:rsid w:val="0034320D"/>
    <w:rsid w:val="00345553"/>
    <w:rsid w:val="003509EE"/>
    <w:rsid w:val="00352B53"/>
    <w:rsid w:val="00357315"/>
    <w:rsid w:val="003603CA"/>
    <w:rsid w:val="0036113B"/>
    <w:rsid w:val="00361E1E"/>
    <w:rsid w:val="00364C20"/>
    <w:rsid w:val="003653F1"/>
    <w:rsid w:val="00365738"/>
    <w:rsid w:val="0036771E"/>
    <w:rsid w:val="00371BBD"/>
    <w:rsid w:val="00374A3F"/>
    <w:rsid w:val="00377A44"/>
    <w:rsid w:val="003825E4"/>
    <w:rsid w:val="003909CA"/>
    <w:rsid w:val="0039394F"/>
    <w:rsid w:val="003945D0"/>
    <w:rsid w:val="00394A7C"/>
    <w:rsid w:val="00395402"/>
    <w:rsid w:val="00397746"/>
    <w:rsid w:val="003A2A33"/>
    <w:rsid w:val="003A44D4"/>
    <w:rsid w:val="003A59B3"/>
    <w:rsid w:val="003A6E2E"/>
    <w:rsid w:val="003A6EF9"/>
    <w:rsid w:val="003A6FE6"/>
    <w:rsid w:val="003B24BC"/>
    <w:rsid w:val="003B2712"/>
    <w:rsid w:val="003B29E2"/>
    <w:rsid w:val="003B38EE"/>
    <w:rsid w:val="003B3C28"/>
    <w:rsid w:val="003C0B3B"/>
    <w:rsid w:val="003C1619"/>
    <w:rsid w:val="003C495E"/>
    <w:rsid w:val="003C4FC4"/>
    <w:rsid w:val="003C5A19"/>
    <w:rsid w:val="003D5660"/>
    <w:rsid w:val="003D59DC"/>
    <w:rsid w:val="003D603D"/>
    <w:rsid w:val="003D6E76"/>
    <w:rsid w:val="003D7E11"/>
    <w:rsid w:val="003E05D8"/>
    <w:rsid w:val="003E16E2"/>
    <w:rsid w:val="003E1D5E"/>
    <w:rsid w:val="003E2870"/>
    <w:rsid w:val="003E3C09"/>
    <w:rsid w:val="003F1AAE"/>
    <w:rsid w:val="003F2BFB"/>
    <w:rsid w:val="003F4E70"/>
    <w:rsid w:val="003F6FBE"/>
    <w:rsid w:val="00401848"/>
    <w:rsid w:val="00403B2C"/>
    <w:rsid w:val="00404320"/>
    <w:rsid w:val="00411479"/>
    <w:rsid w:val="00411AD4"/>
    <w:rsid w:val="00415786"/>
    <w:rsid w:val="00415D54"/>
    <w:rsid w:val="0041602B"/>
    <w:rsid w:val="00420548"/>
    <w:rsid w:val="00422145"/>
    <w:rsid w:val="00423F1E"/>
    <w:rsid w:val="0042749B"/>
    <w:rsid w:val="00433FFB"/>
    <w:rsid w:val="00433FFE"/>
    <w:rsid w:val="00434AA0"/>
    <w:rsid w:val="00436076"/>
    <w:rsid w:val="004404BD"/>
    <w:rsid w:val="004429B7"/>
    <w:rsid w:val="004436B7"/>
    <w:rsid w:val="004437DC"/>
    <w:rsid w:val="004447DA"/>
    <w:rsid w:val="00444CD1"/>
    <w:rsid w:val="004455AA"/>
    <w:rsid w:val="0044741C"/>
    <w:rsid w:val="004603F4"/>
    <w:rsid w:val="004637B2"/>
    <w:rsid w:val="00464575"/>
    <w:rsid w:val="00470347"/>
    <w:rsid w:val="00471426"/>
    <w:rsid w:val="004751AC"/>
    <w:rsid w:val="00475FAF"/>
    <w:rsid w:val="004766BD"/>
    <w:rsid w:val="0048579B"/>
    <w:rsid w:val="00485F81"/>
    <w:rsid w:val="004873A3"/>
    <w:rsid w:val="00490D68"/>
    <w:rsid w:val="00493015"/>
    <w:rsid w:val="00493048"/>
    <w:rsid w:val="004931DD"/>
    <w:rsid w:val="00496F79"/>
    <w:rsid w:val="004A0078"/>
    <w:rsid w:val="004A07D4"/>
    <w:rsid w:val="004A0A04"/>
    <w:rsid w:val="004A0CC0"/>
    <w:rsid w:val="004A36EB"/>
    <w:rsid w:val="004A3D38"/>
    <w:rsid w:val="004A5E2B"/>
    <w:rsid w:val="004A683B"/>
    <w:rsid w:val="004B215D"/>
    <w:rsid w:val="004B429C"/>
    <w:rsid w:val="004B5E01"/>
    <w:rsid w:val="004C0DF6"/>
    <w:rsid w:val="004C200B"/>
    <w:rsid w:val="004C23DC"/>
    <w:rsid w:val="004C310A"/>
    <w:rsid w:val="004C391A"/>
    <w:rsid w:val="004C5264"/>
    <w:rsid w:val="004C6294"/>
    <w:rsid w:val="004D01EF"/>
    <w:rsid w:val="004D02E1"/>
    <w:rsid w:val="004D48D1"/>
    <w:rsid w:val="004E02F4"/>
    <w:rsid w:val="004E13DD"/>
    <w:rsid w:val="004E264A"/>
    <w:rsid w:val="004E393B"/>
    <w:rsid w:val="004E50FB"/>
    <w:rsid w:val="004E56C8"/>
    <w:rsid w:val="004E71F1"/>
    <w:rsid w:val="004E772C"/>
    <w:rsid w:val="004E7EBE"/>
    <w:rsid w:val="004F35F6"/>
    <w:rsid w:val="004F6BD9"/>
    <w:rsid w:val="004F6D5D"/>
    <w:rsid w:val="00503AC6"/>
    <w:rsid w:val="00504BB1"/>
    <w:rsid w:val="00505A68"/>
    <w:rsid w:val="0050600E"/>
    <w:rsid w:val="00507B54"/>
    <w:rsid w:val="005115C0"/>
    <w:rsid w:val="00512740"/>
    <w:rsid w:val="0051284D"/>
    <w:rsid w:val="005141AB"/>
    <w:rsid w:val="00515684"/>
    <w:rsid w:val="005204AC"/>
    <w:rsid w:val="00520869"/>
    <w:rsid w:val="0052291B"/>
    <w:rsid w:val="005265E9"/>
    <w:rsid w:val="005275AA"/>
    <w:rsid w:val="00530630"/>
    <w:rsid w:val="00532A15"/>
    <w:rsid w:val="00535E13"/>
    <w:rsid w:val="00541842"/>
    <w:rsid w:val="00542C65"/>
    <w:rsid w:val="00543EDA"/>
    <w:rsid w:val="0054472C"/>
    <w:rsid w:val="00544A7F"/>
    <w:rsid w:val="005471D4"/>
    <w:rsid w:val="00547CDD"/>
    <w:rsid w:val="0055034A"/>
    <w:rsid w:val="005506F1"/>
    <w:rsid w:val="0055120C"/>
    <w:rsid w:val="005523C4"/>
    <w:rsid w:val="00552657"/>
    <w:rsid w:val="005573C4"/>
    <w:rsid w:val="00557D4C"/>
    <w:rsid w:val="005600AF"/>
    <w:rsid w:val="005626D7"/>
    <w:rsid w:val="00562CDA"/>
    <w:rsid w:val="00565697"/>
    <w:rsid w:val="00566428"/>
    <w:rsid w:val="00566877"/>
    <w:rsid w:val="00567D8E"/>
    <w:rsid w:val="00571335"/>
    <w:rsid w:val="005749C2"/>
    <w:rsid w:val="00574ECC"/>
    <w:rsid w:val="00575C35"/>
    <w:rsid w:val="00576345"/>
    <w:rsid w:val="005776B3"/>
    <w:rsid w:val="005807B0"/>
    <w:rsid w:val="0059089C"/>
    <w:rsid w:val="00590D4D"/>
    <w:rsid w:val="00591138"/>
    <w:rsid w:val="0059117D"/>
    <w:rsid w:val="005936B1"/>
    <w:rsid w:val="0059603D"/>
    <w:rsid w:val="00596405"/>
    <w:rsid w:val="005A3179"/>
    <w:rsid w:val="005A4C82"/>
    <w:rsid w:val="005A5708"/>
    <w:rsid w:val="005A5FB3"/>
    <w:rsid w:val="005A7FC2"/>
    <w:rsid w:val="005B3C09"/>
    <w:rsid w:val="005B47AA"/>
    <w:rsid w:val="005B4E00"/>
    <w:rsid w:val="005B5F8C"/>
    <w:rsid w:val="005C158E"/>
    <w:rsid w:val="005C1715"/>
    <w:rsid w:val="005C3722"/>
    <w:rsid w:val="005C3D69"/>
    <w:rsid w:val="005C5507"/>
    <w:rsid w:val="005C5F88"/>
    <w:rsid w:val="005C60B5"/>
    <w:rsid w:val="005D0347"/>
    <w:rsid w:val="005D2302"/>
    <w:rsid w:val="005D2E30"/>
    <w:rsid w:val="005D3725"/>
    <w:rsid w:val="005D79D5"/>
    <w:rsid w:val="005E027A"/>
    <w:rsid w:val="005E23D0"/>
    <w:rsid w:val="005E2D3F"/>
    <w:rsid w:val="005E65DA"/>
    <w:rsid w:val="005E6B55"/>
    <w:rsid w:val="005E6D24"/>
    <w:rsid w:val="005E7AA4"/>
    <w:rsid w:val="005E7EEA"/>
    <w:rsid w:val="005F04D5"/>
    <w:rsid w:val="005F1735"/>
    <w:rsid w:val="005F1AEE"/>
    <w:rsid w:val="005F45B9"/>
    <w:rsid w:val="005F4A26"/>
    <w:rsid w:val="0060123C"/>
    <w:rsid w:val="006012D5"/>
    <w:rsid w:val="00602EA5"/>
    <w:rsid w:val="0060317A"/>
    <w:rsid w:val="00612B44"/>
    <w:rsid w:val="00612FD1"/>
    <w:rsid w:val="0061371E"/>
    <w:rsid w:val="0061542D"/>
    <w:rsid w:val="0061589A"/>
    <w:rsid w:val="00615CA1"/>
    <w:rsid w:val="00620F6E"/>
    <w:rsid w:val="00620F9C"/>
    <w:rsid w:val="0062329E"/>
    <w:rsid w:val="00625405"/>
    <w:rsid w:val="00631D3C"/>
    <w:rsid w:val="00632F34"/>
    <w:rsid w:val="00633696"/>
    <w:rsid w:val="006370A2"/>
    <w:rsid w:val="00637891"/>
    <w:rsid w:val="00642A8E"/>
    <w:rsid w:val="006438AC"/>
    <w:rsid w:val="00644D69"/>
    <w:rsid w:val="006461B4"/>
    <w:rsid w:val="0064636A"/>
    <w:rsid w:val="00646904"/>
    <w:rsid w:val="00646E89"/>
    <w:rsid w:val="00647763"/>
    <w:rsid w:val="0065010B"/>
    <w:rsid w:val="006504E9"/>
    <w:rsid w:val="006520DC"/>
    <w:rsid w:val="00652844"/>
    <w:rsid w:val="00652AE5"/>
    <w:rsid w:val="00652BA9"/>
    <w:rsid w:val="00653459"/>
    <w:rsid w:val="00653B8B"/>
    <w:rsid w:val="00654598"/>
    <w:rsid w:val="00654AF4"/>
    <w:rsid w:val="00657657"/>
    <w:rsid w:val="00657B8C"/>
    <w:rsid w:val="00657D66"/>
    <w:rsid w:val="00657E46"/>
    <w:rsid w:val="0066161B"/>
    <w:rsid w:val="00661F7B"/>
    <w:rsid w:val="006656C8"/>
    <w:rsid w:val="0066587C"/>
    <w:rsid w:val="0066668C"/>
    <w:rsid w:val="00666B41"/>
    <w:rsid w:val="00666E46"/>
    <w:rsid w:val="0066753C"/>
    <w:rsid w:val="006676AF"/>
    <w:rsid w:val="00667EF4"/>
    <w:rsid w:val="00671D35"/>
    <w:rsid w:val="0067419B"/>
    <w:rsid w:val="00676968"/>
    <w:rsid w:val="00676A98"/>
    <w:rsid w:val="0067735B"/>
    <w:rsid w:val="006815D1"/>
    <w:rsid w:val="00683F39"/>
    <w:rsid w:val="00685305"/>
    <w:rsid w:val="006919FB"/>
    <w:rsid w:val="00694DE3"/>
    <w:rsid w:val="006A08FF"/>
    <w:rsid w:val="006A3292"/>
    <w:rsid w:val="006A335D"/>
    <w:rsid w:val="006A3C90"/>
    <w:rsid w:val="006A6265"/>
    <w:rsid w:val="006B2E91"/>
    <w:rsid w:val="006B4046"/>
    <w:rsid w:val="006B4B2A"/>
    <w:rsid w:val="006C184B"/>
    <w:rsid w:val="006C36AF"/>
    <w:rsid w:val="006C373A"/>
    <w:rsid w:val="006C4162"/>
    <w:rsid w:val="006C4795"/>
    <w:rsid w:val="006C4E9D"/>
    <w:rsid w:val="006D4C2F"/>
    <w:rsid w:val="006D5DF3"/>
    <w:rsid w:val="006D6578"/>
    <w:rsid w:val="006E0780"/>
    <w:rsid w:val="006E1D20"/>
    <w:rsid w:val="006E58A5"/>
    <w:rsid w:val="006F2FA6"/>
    <w:rsid w:val="006F32D2"/>
    <w:rsid w:val="007008BB"/>
    <w:rsid w:val="00700CBD"/>
    <w:rsid w:val="007017B5"/>
    <w:rsid w:val="0070186B"/>
    <w:rsid w:val="007064C5"/>
    <w:rsid w:val="00706AA1"/>
    <w:rsid w:val="007076F0"/>
    <w:rsid w:val="007109D3"/>
    <w:rsid w:val="00710DCF"/>
    <w:rsid w:val="0071332D"/>
    <w:rsid w:val="00714F2A"/>
    <w:rsid w:val="00717D0E"/>
    <w:rsid w:val="00720FA6"/>
    <w:rsid w:val="0072387B"/>
    <w:rsid w:val="00724A62"/>
    <w:rsid w:val="007250AD"/>
    <w:rsid w:val="007254E2"/>
    <w:rsid w:val="00731AE1"/>
    <w:rsid w:val="00735847"/>
    <w:rsid w:val="00736B61"/>
    <w:rsid w:val="0074524F"/>
    <w:rsid w:val="0074774B"/>
    <w:rsid w:val="00754700"/>
    <w:rsid w:val="00755D47"/>
    <w:rsid w:val="00755F50"/>
    <w:rsid w:val="0076345A"/>
    <w:rsid w:val="00764B80"/>
    <w:rsid w:val="00765943"/>
    <w:rsid w:val="00765A8E"/>
    <w:rsid w:val="00771242"/>
    <w:rsid w:val="00771291"/>
    <w:rsid w:val="007730F7"/>
    <w:rsid w:val="00773244"/>
    <w:rsid w:val="00774EA2"/>
    <w:rsid w:val="00775A3C"/>
    <w:rsid w:val="00776476"/>
    <w:rsid w:val="00776EB2"/>
    <w:rsid w:val="00777ABE"/>
    <w:rsid w:val="00780601"/>
    <w:rsid w:val="00783636"/>
    <w:rsid w:val="00784B49"/>
    <w:rsid w:val="00784F8F"/>
    <w:rsid w:val="007869C9"/>
    <w:rsid w:val="007907AB"/>
    <w:rsid w:val="00791F0C"/>
    <w:rsid w:val="0079431A"/>
    <w:rsid w:val="00796DA9"/>
    <w:rsid w:val="00797F11"/>
    <w:rsid w:val="007A03B1"/>
    <w:rsid w:val="007A0D12"/>
    <w:rsid w:val="007A19A5"/>
    <w:rsid w:val="007A2B5A"/>
    <w:rsid w:val="007A3133"/>
    <w:rsid w:val="007A3D90"/>
    <w:rsid w:val="007A663C"/>
    <w:rsid w:val="007B088B"/>
    <w:rsid w:val="007B32C2"/>
    <w:rsid w:val="007B3AD3"/>
    <w:rsid w:val="007B690A"/>
    <w:rsid w:val="007C09FE"/>
    <w:rsid w:val="007C1B38"/>
    <w:rsid w:val="007C24E4"/>
    <w:rsid w:val="007C309E"/>
    <w:rsid w:val="007C58B9"/>
    <w:rsid w:val="007C5D57"/>
    <w:rsid w:val="007C635C"/>
    <w:rsid w:val="007C7B46"/>
    <w:rsid w:val="007D1E3C"/>
    <w:rsid w:val="007D3299"/>
    <w:rsid w:val="007D50AB"/>
    <w:rsid w:val="007D525A"/>
    <w:rsid w:val="007D60F8"/>
    <w:rsid w:val="007D6C1E"/>
    <w:rsid w:val="007E025E"/>
    <w:rsid w:val="007E0E9E"/>
    <w:rsid w:val="007E1D81"/>
    <w:rsid w:val="007E2710"/>
    <w:rsid w:val="007E2775"/>
    <w:rsid w:val="007E30B4"/>
    <w:rsid w:val="007E34BE"/>
    <w:rsid w:val="007E5A7C"/>
    <w:rsid w:val="007F08C8"/>
    <w:rsid w:val="007F1403"/>
    <w:rsid w:val="007F331D"/>
    <w:rsid w:val="007F3509"/>
    <w:rsid w:val="007F3A07"/>
    <w:rsid w:val="00801B8F"/>
    <w:rsid w:val="008026BA"/>
    <w:rsid w:val="00802916"/>
    <w:rsid w:val="00802CBB"/>
    <w:rsid w:val="00803408"/>
    <w:rsid w:val="00804442"/>
    <w:rsid w:val="008045F0"/>
    <w:rsid w:val="00806569"/>
    <w:rsid w:val="00812583"/>
    <w:rsid w:val="00816C01"/>
    <w:rsid w:val="008177D2"/>
    <w:rsid w:val="00817862"/>
    <w:rsid w:val="008211C4"/>
    <w:rsid w:val="00821855"/>
    <w:rsid w:val="00823935"/>
    <w:rsid w:val="00823ACA"/>
    <w:rsid w:val="00825684"/>
    <w:rsid w:val="00831A48"/>
    <w:rsid w:val="0083532B"/>
    <w:rsid w:val="0084147A"/>
    <w:rsid w:val="00842AC1"/>
    <w:rsid w:val="0084378C"/>
    <w:rsid w:val="00843DAF"/>
    <w:rsid w:val="008443D3"/>
    <w:rsid w:val="0084534D"/>
    <w:rsid w:val="00845D38"/>
    <w:rsid w:val="008461F2"/>
    <w:rsid w:val="008506F3"/>
    <w:rsid w:val="00850E54"/>
    <w:rsid w:val="008602F1"/>
    <w:rsid w:val="00861E01"/>
    <w:rsid w:val="008649E8"/>
    <w:rsid w:val="008667A5"/>
    <w:rsid w:val="00867D01"/>
    <w:rsid w:val="008715CD"/>
    <w:rsid w:val="00872FBB"/>
    <w:rsid w:val="00873CEA"/>
    <w:rsid w:val="00874FB8"/>
    <w:rsid w:val="0087523D"/>
    <w:rsid w:val="0087596E"/>
    <w:rsid w:val="00875A9F"/>
    <w:rsid w:val="008820DF"/>
    <w:rsid w:val="0088310F"/>
    <w:rsid w:val="0088332A"/>
    <w:rsid w:val="00884051"/>
    <w:rsid w:val="00886358"/>
    <w:rsid w:val="008904F4"/>
    <w:rsid w:val="00893CFD"/>
    <w:rsid w:val="00894F8D"/>
    <w:rsid w:val="00895A50"/>
    <w:rsid w:val="008968EC"/>
    <w:rsid w:val="00897D2E"/>
    <w:rsid w:val="008A09CF"/>
    <w:rsid w:val="008A1669"/>
    <w:rsid w:val="008A2DF4"/>
    <w:rsid w:val="008A2F0B"/>
    <w:rsid w:val="008A62C8"/>
    <w:rsid w:val="008B24B7"/>
    <w:rsid w:val="008B265A"/>
    <w:rsid w:val="008B6684"/>
    <w:rsid w:val="008B77DB"/>
    <w:rsid w:val="008C03EB"/>
    <w:rsid w:val="008C0B3B"/>
    <w:rsid w:val="008C5880"/>
    <w:rsid w:val="008C71E7"/>
    <w:rsid w:val="008C79FB"/>
    <w:rsid w:val="008C7ACD"/>
    <w:rsid w:val="008C7C1C"/>
    <w:rsid w:val="008D0C54"/>
    <w:rsid w:val="008D159B"/>
    <w:rsid w:val="008D1F9D"/>
    <w:rsid w:val="008D2DB3"/>
    <w:rsid w:val="008D3456"/>
    <w:rsid w:val="008D4178"/>
    <w:rsid w:val="008D4C9B"/>
    <w:rsid w:val="008D5AE6"/>
    <w:rsid w:val="008D6C71"/>
    <w:rsid w:val="008D7E5D"/>
    <w:rsid w:val="008E02CB"/>
    <w:rsid w:val="008E318F"/>
    <w:rsid w:val="008E3BF2"/>
    <w:rsid w:val="008E5A3B"/>
    <w:rsid w:val="008E5AF4"/>
    <w:rsid w:val="008E6546"/>
    <w:rsid w:val="008E6E33"/>
    <w:rsid w:val="008E73AD"/>
    <w:rsid w:val="008F0E06"/>
    <w:rsid w:val="008F2CDB"/>
    <w:rsid w:val="008F4D22"/>
    <w:rsid w:val="008F791F"/>
    <w:rsid w:val="00901B71"/>
    <w:rsid w:val="00903B12"/>
    <w:rsid w:val="00904D14"/>
    <w:rsid w:val="0090691E"/>
    <w:rsid w:val="00906E1A"/>
    <w:rsid w:val="00907F97"/>
    <w:rsid w:val="0091043C"/>
    <w:rsid w:val="009110A2"/>
    <w:rsid w:val="00911EE2"/>
    <w:rsid w:val="0091550D"/>
    <w:rsid w:val="00917930"/>
    <w:rsid w:val="00920739"/>
    <w:rsid w:val="009213EC"/>
    <w:rsid w:val="00922730"/>
    <w:rsid w:val="009254CF"/>
    <w:rsid w:val="0092576F"/>
    <w:rsid w:val="00925CF6"/>
    <w:rsid w:val="00927FDB"/>
    <w:rsid w:val="00930638"/>
    <w:rsid w:val="0093475A"/>
    <w:rsid w:val="00934A54"/>
    <w:rsid w:val="00935347"/>
    <w:rsid w:val="00936101"/>
    <w:rsid w:val="00940578"/>
    <w:rsid w:val="009407DB"/>
    <w:rsid w:val="00941386"/>
    <w:rsid w:val="009414EB"/>
    <w:rsid w:val="009437EA"/>
    <w:rsid w:val="009446F4"/>
    <w:rsid w:val="009529C7"/>
    <w:rsid w:val="00952FFB"/>
    <w:rsid w:val="009544CF"/>
    <w:rsid w:val="00956B53"/>
    <w:rsid w:val="009577B6"/>
    <w:rsid w:val="00961BCE"/>
    <w:rsid w:val="0096392D"/>
    <w:rsid w:val="009639B9"/>
    <w:rsid w:val="009642FA"/>
    <w:rsid w:val="00964DF9"/>
    <w:rsid w:val="00970968"/>
    <w:rsid w:val="00970D64"/>
    <w:rsid w:val="00971F45"/>
    <w:rsid w:val="00971F66"/>
    <w:rsid w:val="00972071"/>
    <w:rsid w:val="00973ECB"/>
    <w:rsid w:val="00976572"/>
    <w:rsid w:val="00981475"/>
    <w:rsid w:val="0098276A"/>
    <w:rsid w:val="00983E60"/>
    <w:rsid w:val="0098475D"/>
    <w:rsid w:val="00985342"/>
    <w:rsid w:val="00987371"/>
    <w:rsid w:val="00990042"/>
    <w:rsid w:val="009912C9"/>
    <w:rsid w:val="009915E1"/>
    <w:rsid w:val="009A3FFF"/>
    <w:rsid w:val="009A4195"/>
    <w:rsid w:val="009B3432"/>
    <w:rsid w:val="009B58CF"/>
    <w:rsid w:val="009B680C"/>
    <w:rsid w:val="009C41F2"/>
    <w:rsid w:val="009C53DB"/>
    <w:rsid w:val="009C5425"/>
    <w:rsid w:val="009D4C7A"/>
    <w:rsid w:val="009D77FD"/>
    <w:rsid w:val="009E0A42"/>
    <w:rsid w:val="009E127D"/>
    <w:rsid w:val="009E15CD"/>
    <w:rsid w:val="009E2C4A"/>
    <w:rsid w:val="009E2C78"/>
    <w:rsid w:val="009E2E8E"/>
    <w:rsid w:val="009E68E2"/>
    <w:rsid w:val="009E6C97"/>
    <w:rsid w:val="009F28A1"/>
    <w:rsid w:val="009F42BC"/>
    <w:rsid w:val="009F5B21"/>
    <w:rsid w:val="00A004CC"/>
    <w:rsid w:val="00A017D7"/>
    <w:rsid w:val="00A01AE5"/>
    <w:rsid w:val="00A0390A"/>
    <w:rsid w:val="00A061D5"/>
    <w:rsid w:val="00A1197A"/>
    <w:rsid w:val="00A121B3"/>
    <w:rsid w:val="00A12AEC"/>
    <w:rsid w:val="00A13714"/>
    <w:rsid w:val="00A145C2"/>
    <w:rsid w:val="00A16735"/>
    <w:rsid w:val="00A204D8"/>
    <w:rsid w:val="00A217C7"/>
    <w:rsid w:val="00A22784"/>
    <w:rsid w:val="00A23482"/>
    <w:rsid w:val="00A23A33"/>
    <w:rsid w:val="00A23EF4"/>
    <w:rsid w:val="00A30561"/>
    <w:rsid w:val="00A316E8"/>
    <w:rsid w:val="00A350B2"/>
    <w:rsid w:val="00A40151"/>
    <w:rsid w:val="00A4211A"/>
    <w:rsid w:val="00A4233A"/>
    <w:rsid w:val="00A43077"/>
    <w:rsid w:val="00A43CDB"/>
    <w:rsid w:val="00A44C1F"/>
    <w:rsid w:val="00A4693D"/>
    <w:rsid w:val="00A47695"/>
    <w:rsid w:val="00A47B73"/>
    <w:rsid w:val="00A527A4"/>
    <w:rsid w:val="00A549B3"/>
    <w:rsid w:val="00A57012"/>
    <w:rsid w:val="00A61126"/>
    <w:rsid w:val="00A6398D"/>
    <w:rsid w:val="00A64606"/>
    <w:rsid w:val="00A65335"/>
    <w:rsid w:val="00A6567A"/>
    <w:rsid w:val="00A66960"/>
    <w:rsid w:val="00A670DF"/>
    <w:rsid w:val="00A70142"/>
    <w:rsid w:val="00A703C0"/>
    <w:rsid w:val="00A7464B"/>
    <w:rsid w:val="00A76B05"/>
    <w:rsid w:val="00A76F9C"/>
    <w:rsid w:val="00A8417A"/>
    <w:rsid w:val="00A854DC"/>
    <w:rsid w:val="00A85620"/>
    <w:rsid w:val="00A864FC"/>
    <w:rsid w:val="00A90E24"/>
    <w:rsid w:val="00A9129C"/>
    <w:rsid w:val="00A91FD4"/>
    <w:rsid w:val="00A948BD"/>
    <w:rsid w:val="00A952CA"/>
    <w:rsid w:val="00A96967"/>
    <w:rsid w:val="00A97B82"/>
    <w:rsid w:val="00AA0CA1"/>
    <w:rsid w:val="00AA45A0"/>
    <w:rsid w:val="00AA4EBC"/>
    <w:rsid w:val="00AA5AD2"/>
    <w:rsid w:val="00AA68C2"/>
    <w:rsid w:val="00AB0112"/>
    <w:rsid w:val="00AB188B"/>
    <w:rsid w:val="00AB2610"/>
    <w:rsid w:val="00AB3AF5"/>
    <w:rsid w:val="00AB3DB1"/>
    <w:rsid w:val="00AB4820"/>
    <w:rsid w:val="00AB5AEC"/>
    <w:rsid w:val="00AB6320"/>
    <w:rsid w:val="00AB7152"/>
    <w:rsid w:val="00AC29BD"/>
    <w:rsid w:val="00AC76C9"/>
    <w:rsid w:val="00AD58CE"/>
    <w:rsid w:val="00AE1154"/>
    <w:rsid w:val="00AE120A"/>
    <w:rsid w:val="00AE16A9"/>
    <w:rsid w:val="00AE3331"/>
    <w:rsid w:val="00AE336E"/>
    <w:rsid w:val="00AF0BA3"/>
    <w:rsid w:val="00AF3730"/>
    <w:rsid w:val="00AF3BCB"/>
    <w:rsid w:val="00AF4390"/>
    <w:rsid w:val="00AF4B25"/>
    <w:rsid w:val="00AF606F"/>
    <w:rsid w:val="00B02D36"/>
    <w:rsid w:val="00B02F5D"/>
    <w:rsid w:val="00B05F22"/>
    <w:rsid w:val="00B06959"/>
    <w:rsid w:val="00B06D3D"/>
    <w:rsid w:val="00B153CF"/>
    <w:rsid w:val="00B20B0F"/>
    <w:rsid w:val="00B2111D"/>
    <w:rsid w:val="00B22058"/>
    <w:rsid w:val="00B22FE3"/>
    <w:rsid w:val="00B34B23"/>
    <w:rsid w:val="00B34C84"/>
    <w:rsid w:val="00B36232"/>
    <w:rsid w:val="00B36D70"/>
    <w:rsid w:val="00B4048C"/>
    <w:rsid w:val="00B41724"/>
    <w:rsid w:val="00B41C64"/>
    <w:rsid w:val="00B43811"/>
    <w:rsid w:val="00B44A03"/>
    <w:rsid w:val="00B453A5"/>
    <w:rsid w:val="00B47F29"/>
    <w:rsid w:val="00B47F95"/>
    <w:rsid w:val="00B50A7F"/>
    <w:rsid w:val="00B523A9"/>
    <w:rsid w:val="00B52B9E"/>
    <w:rsid w:val="00B53CEE"/>
    <w:rsid w:val="00B5723E"/>
    <w:rsid w:val="00B63BCE"/>
    <w:rsid w:val="00B66329"/>
    <w:rsid w:val="00B67F32"/>
    <w:rsid w:val="00B74E39"/>
    <w:rsid w:val="00B75CD1"/>
    <w:rsid w:val="00B76986"/>
    <w:rsid w:val="00B76A02"/>
    <w:rsid w:val="00B802D6"/>
    <w:rsid w:val="00B8258D"/>
    <w:rsid w:val="00B826EC"/>
    <w:rsid w:val="00B846AC"/>
    <w:rsid w:val="00B8514E"/>
    <w:rsid w:val="00B85327"/>
    <w:rsid w:val="00B85709"/>
    <w:rsid w:val="00B863F2"/>
    <w:rsid w:val="00B866C8"/>
    <w:rsid w:val="00B87242"/>
    <w:rsid w:val="00B9755E"/>
    <w:rsid w:val="00BA3193"/>
    <w:rsid w:val="00BA6248"/>
    <w:rsid w:val="00BB41E1"/>
    <w:rsid w:val="00BB426A"/>
    <w:rsid w:val="00BB7F16"/>
    <w:rsid w:val="00BC0436"/>
    <w:rsid w:val="00BC5DB2"/>
    <w:rsid w:val="00BC5FFA"/>
    <w:rsid w:val="00BC658F"/>
    <w:rsid w:val="00BC6B88"/>
    <w:rsid w:val="00BC7087"/>
    <w:rsid w:val="00BD7459"/>
    <w:rsid w:val="00BD77DA"/>
    <w:rsid w:val="00BE0415"/>
    <w:rsid w:val="00BE26E5"/>
    <w:rsid w:val="00BE2E65"/>
    <w:rsid w:val="00BE5CA3"/>
    <w:rsid w:val="00BE79CC"/>
    <w:rsid w:val="00BF08CA"/>
    <w:rsid w:val="00BF1945"/>
    <w:rsid w:val="00BF6DA5"/>
    <w:rsid w:val="00C02CC2"/>
    <w:rsid w:val="00C041E3"/>
    <w:rsid w:val="00C04EE9"/>
    <w:rsid w:val="00C06DC4"/>
    <w:rsid w:val="00C106CA"/>
    <w:rsid w:val="00C106E9"/>
    <w:rsid w:val="00C10996"/>
    <w:rsid w:val="00C109D1"/>
    <w:rsid w:val="00C128B0"/>
    <w:rsid w:val="00C13E9E"/>
    <w:rsid w:val="00C2052B"/>
    <w:rsid w:val="00C20C0A"/>
    <w:rsid w:val="00C226B0"/>
    <w:rsid w:val="00C23E44"/>
    <w:rsid w:val="00C26387"/>
    <w:rsid w:val="00C26AF8"/>
    <w:rsid w:val="00C27D93"/>
    <w:rsid w:val="00C27FED"/>
    <w:rsid w:val="00C3424C"/>
    <w:rsid w:val="00C342E4"/>
    <w:rsid w:val="00C37168"/>
    <w:rsid w:val="00C43374"/>
    <w:rsid w:val="00C440F4"/>
    <w:rsid w:val="00C45FFB"/>
    <w:rsid w:val="00C46057"/>
    <w:rsid w:val="00C50357"/>
    <w:rsid w:val="00C50390"/>
    <w:rsid w:val="00C50FFF"/>
    <w:rsid w:val="00C514ED"/>
    <w:rsid w:val="00C5215D"/>
    <w:rsid w:val="00C531D9"/>
    <w:rsid w:val="00C532AD"/>
    <w:rsid w:val="00C540F9"/>
    <w:rsid w:val="00C65BC0"/>
    <w:rsid w:val="00C7022E"/>
    <w:rsid w:val="00C70495"/>
    <w:rsid w:val="00C7606A"/>
    <w:rsid w:val="00C767E9"/>
    <w:rsid w:val="00C8214E"/>
    <w:rsid w:val="00C833D2"/>
    <w:rsid w:val="00C83446"/>
    <w:rsid w:val="00C8463E"/>
    <w:rsid w:val="00C84DF5"/>
    <w:rsid w:val="00C9144A"/>
    <w:rsid w:val="00C92B2A"/>
    <w:rsid w:val="00C94461"/>
    <w:rsid w:val="00C95586"/>
    <w:rsid w:val="00C96621"/>
    <w:rsid w:val="00CA0395"/>
    <w:rsid w:val="00CA0CF5"/>
    <w:rsid w:val="00CA19D7"/>
    <w:rsid w:val="00CA3EF7"/>
    <w:rsid w:val="00CA54DE"/>
    <w:rsid w:val="00CA562F"/>
    <w:rsid w:val="00CA634E"/>
    <w:rsid w:val="00CA6627"/>
    <w:rsid w:val="00CB0E59"/>
    <w:rsid w:val="00CB2696"/>
    <w:rsid w:val="00CB4E28"/>
    <w:rsid w:val="00CB5C13"/>
    <w:rsid w:val="00CB6A33"/>
    <w:rsid w:val="00CB704A"/>
    <w:rsid w:val="00CB73AB"/>
    <w:rsid w:val="00CC1064"/>
    <w:rsid w:val="00CC2C63"/>
    <w:rsid w:val="00CC3BF3"/>
    <w:rsid w:val="00CC40EF"/>
    <w:rsid w:val="00CC54DF"/>
    <w:rsid w:val="00CC6127"/>
    <w:rsid w:val="00CD0528"/>
    <w:rsid w:val="00CD0881"/>
    <w:rsid w:val="00CD0E89"/>
    <w:rsid w:val="00CD1426"/>
    <w:rsid w:val="00CD6838"/>
    <w:rsid w:val="00CD781B"/>
    <w:rsid w:val="00CE16F2"/>
    <w:rsid w:val="00CE3941"/>
    <w:rsid w:val="00CE404C"/>
    <w:rsid w:val="00CF1357"/>
    <w:rsid w:val="00CF4780"/>
    <w:rsid w:val="00CF538F"/>
    <w:rsid w:val="00CF6F89"/>
    <w:rsid w:val="00D0692F"/>
    <w:rsid w:val="00D07C21"/>
    <w:rsid w:val="00D1174E"/>
    <w:rsid w:val="00D11BFC"/>
    <w:rsid w:val="00D11EC0"/>
    <w:rsid w:val="00D17C38"/>
    <w:rsid w:val="00D20221"/>
    <w:rsid w:val="00D21C5C"/>
    <w:rsid w:val="00D22E6B"/>
    <w:rsid w:val="00D247CB"/>
    <w:rsid w:val="00D2554F"/>
    <w:rsid w:val="00D25812"/>
    <w:rsid w:val="00D26BAF"/>
    <w:rsid w:val="00D32154"/>
    <w:rsid w:val="00D3511D"/>
    <w:rsid w:val="00D35E61"/>
    <w:rsid w:val="00D4091A"/>
    <w:rsid w:val="00D432B7"/>
    <w:rsid w:val="00D45B5F"/>
    <w:rsid w:val="00D52E37"/>
    <w:rsid w:val="00D533ED"/>
    <w:rsid w:val="00D554F2"/>
    <w:rsid w:val="00D555CA"/>
    <w:rsid w:val="00D56836"/>
    <w:rsid w:val="00D636D2"/>
    <w:rsid w:val="00D66788"/>
    <w:rsid w:val="00D66864"/>
    <w:rsid w:val="00D67FF0"/>
    <w:rsid w:val="00D72AA1"/>
    <w:rsid w:val="00D73008"/>
    <w:rsid w:val="00D77F3A"/>
    <w:rsid w:val="00D821F4"/>
    <w:rsid w:val="00D841E2"/>
    <w:rsid w:val="00D87466"/>
    <w:rsid w:val="00D90420"/>
    <w:rsid w:val="00D909E2"/>
    <w:rsid w:val="00D920AC"/>
    <w:rsid w:val="00D97DB2"/>
    <w:rsid w:val="00D97DB4"/>
    <w:rsid w:val="00DA0CF4"/>
    <w:rsid w:val="00DA4B1B"/>
    <w:rsid w:val="00DA621B"/>
    <w:rsid w:val="00DA7DA8"/>
    <w:rsid w:val="00DB1AAA"/>
    <w:rsid w:val="00DB46E7"/>
    <w:rsid w:val="00DB4B4B"/>
    <w:rsid w:val="00DB58D6"/>
    <w:rsid w:val="00DC49F1"/>
    <w:rsid w:val="00DD020F"/>
    <w:rsid w:val="00DD1709"/>
    <w:rsid w:val="00DD33D8"/>
    <w:rsid w:val="00DE08F5"/>
    <w:rsid w:val="00DE1442"/>
    <w:rsid w:val="00DE2258"/>
    <w:rsid w:val="00DE2DD0"/>
    <w:rsid w:val="00DE4A00"/>
    <w:rsid w:val="00DE4A74"/>
    <w:rsid w:val="00DE69EA"/>
    <w:rsid w:val="00DE75C0"/>
    <w:rsid w:val="00DF3AD9"/>
    <w:rsid w:val="00DF55CB"/>
    <w:rsid w:val="00DF57B7"/>
    <w:rsid w:val="00DF6E56"/>
    <w:rsid w:val="00E01D66"/>
    <w:rsid w:val="00E023DC"/>
    <w:rsid w:val="00E04259"/>
    <w:rsid w:val="00E05047"/>
    <w:rsid w:val="00E05F97"/>
    <w:rsid w:val="00E10DDF"/>
    <w:rsid w:val="00E10F79"/>
    <w:rsid w:val="00E12E2C"/>
    <w:rsid w:val="00E135E5"/>
    <w:rsid w:val="00E13B9E"/>
    <w:rsid w:val="00E215A3"/>
    <w:rsid w:val="00E22013"/>
    <w:rsid w:val="00E30BAA"/>
    <w:rsid w:val="00E32718"/>
    <w:rsid w:val="00E3366C"/>
    <w:rsid w:val="00E378DB"/>
    <w:rsid w:val="00E42B5F"/>
    <w:rsid w:val="00E4459F"/>
    <w:rsid w:val="00E45D48"/>
    <w:rsid w:val="00E50432"/>
    <w:rsid w:val="00E55B0F"/>
    <w:rsid w:val="00E60158"/>
    <w:rsid w:val="00E60CE5"/>
    <w:rsid w:val="00E61C95"/>
    <w:rsid w:val="00E61F3B"/>
    <w:rsid w:val="00E62C2D"/>
    <w:rsid w:val="00E63070"/>
    <w:rsid w:val="00E63163"/>
    <w:rsid w:val="00E6476D"/>
    <w:rsid w:val="00E66A42"/>
    <w:rsid w:val="00E71A2D"/>
    <w:rsid w:val="00E72167"/>
    <w:rsid w:val="00E73E60"/>
    <w:rsid w:val="00E74918"/>
    <w:rsid w:val="00E767C0"/>
    <w:rsid w:val="00E80726"/>
    <w:rsid w:val="00E81A81"/>
    <w:rsid w:val="00E86D28"/>
    <w:rsid w:val="00E87A29"/>
    <w:rsid w:val="00E90EDD"/>
    <w:rsid w:val="00E917BC"/>
    <w:rsid w:val="00E9252F"/>
    <w:rsid w:val="00E92B45"/>
    <w:rsid w:val="00E94737"/>
    <w:rsid w:val="00E95525"/>
    <w:rsid w:val="00E97EE1"/>
    <w:rsid w:val="00E97EF6"/>
    <w:rsid w:val="00EA3484"/>
    <w:rsid w:val="00EA6524"/>
    <w:rsid w:val="00EB0BEB"/>
    <w:rsid w:val="00EB1A89"/>
    <w:rsid w:val="00EB25C4"/>
    <w:rsid w:val="00EB265E"/>
    <w:rsid w:val="00EB3AEF"/>
    <w:rsid w:val="00EB41AF"/>
    <w:rsid w:val="00EC09BD"/>
    <w:rsid w:val="00EC0F16"/>
    <w:rsid w:val="00EC3304"/>
    <w:rsid w:val="00EC540B"/>
    <w:rsid w:val="00EC6BD0"/>
    <w:rsid w:val="00EC7AC3"/>
    <w:rsid w:val="00ED6131"/>
    <w:rsid w:val="00ED6BAE"/>
    <w:rsid w:val="00ED7F4C"/>
    <w:rsid w:val="00EE53FB"/>
    <w:rsid w:val="00EE6E3C"/>
    <w:rsid w:val="00EE718A"/>
    <w:rsid w:val="00EF414C"/>
    <w:rsid w:val="00EF6BBF"/>
    <w:rsid w:val="00EF7C82"/>
    <w:rsid w:val="00F016D6"/>
    <w:rsid w:val="00F0501F"/>
    <w:rsid w:val="00F12473"/>
    <w:rsid w:val="00F12638"/>
    <w:rsid w:val="00F147CA"/>
    <w:rsid w:val="00F14DBF"/>
    <w:rsid w:val="00F16787"/>
    <w:rsid w:val="00F16A65"/>
    <w:rsid w:val="00F16F15"/>
    <w:rsid w:val="00F203F7"/>
    <w:rsid w:val="00F2294B"/>
    <w:rsid w:val="00F23D95"/>
    <w:rsid w:val="00F25E03"/>
    <w:rsid w:val="00F332BC"/>
    <w:rsid w:val="00F35585"/>
    <w:rsid w:val="00F36E34"/>
    <w:rsid w:val="00F43639"/>
    <w:rsid w:val="00F45556"/>
    <w:rsid w:val="00F50202"/>
    <w:rsid w:val="00F5107C"/>
    <w:rsid w:val="00F517D2"/>
    <w:rsid w:val="00F5426C"/>
    <w:rsid w:val="00F544B6"/>
    <w:rsid w:val="00F55955"/>
    <w:rsid w:val="00F60967"/>
    <w:rsid w:val="00F610FA"/>
    <w:rsid w:val="00F61910"/>
    <w:rsid w:val="00F62A59"/>
    <w:rsid w:val="00F63AED"/>
    <w:rsid w:val="00F6540C"/>
    <w:rsid w:val="00F65E64"/>
    <w:rsid w:val="00F66399"/>
    <w:rsid w:val="00F71399"/>
    <w:rsid w:val="00F71E67"/>
    <w:rsid w:val="00F72E26"/>
    <w:rsid w:val="00F73736"/>
    <w:rsid w:val="00F73B8A"/>
    <w:rsid w:val="00F7471C"/>
    <w:rsid w:val="00F74970"/>
    <w:rsid w:val="00F767D3"/>
    <w:rsid w:val="00F77EFB"/>
    <w:rsid w:val="00F8068C"/>
    <w:rsid w:val="00F809C6"/>
    <w:rsid w:val="00F80FE6"/>
    <w:rsid w:val="00F82252"/>
    <w:rsid w:val="00F827BC"/>
    <w:rsid w:val="00F832D4"/>
    <w:rsid w:val="00F83548"/>
    <w:rsid w:val="00F83FBC"/>
    <w:rsid w:val="00F84DF2"/>
    <w:rsid w:val="00F8522C"/>
    <w:rsid w:val="00F9078B"/>
    <w:rsid w:val="00F92209"/>
    <w:rsid w:val="00F9479C"/>
    <w:rsid w:val="00F957EB"/>
    <w:rsid w:val="00FA1224"/>
    <w:rsid w:val="00FA42C8"/>
    <w:rsid w:val="00FA4496"/>
    <w:rsid w:val="00FA6028"/>
    <w:rsid w:val="00FB0EFB"/>
    <w:rsid w:val="00FB1E6A"/>
    <w:rsid w:val="00FB5891"/>
    <w:rsid w:val="00FB5AB8"/>
    <w:rsid w:val="00FC0599"/>
    <w:rsid w:val="00FC104C"/>
    <w:rsid w:val="00FC593E"/>
    <w:rsid w:val="00FD327F"/>
    <w:rsid w:val="00FD3A75"/>
    <w:rsid w:val="00FE06E2"/>
    <w:rsid w:val="00FE1F07"/>
    <w:rsid w:val="00FE5DF7"/>
    <w:rsid w:val="00FE7162"/>
    <w:rsid w:val="00FE76EE"/>
    <w:rsid w:val="00FF578F"/>
    <w:rsid w:val="00FF58B0"/>
    <w:rsid w:val="00FF6404"/>
    <w:rsid w:val="00FF7B50"/>
    <w:rsid w:val="00FF7F0B"/>
    <w:rsid w:val="078575B3"/>
    <w:rsid w:val="098D6F39"/>
    <w:rsid w:val="09F46F40"/>
    <w:rsid w:val="0D722A40"/>
    <w:rsid w:val="12B154B7"/>
    <w:rsid w:val="16092656"/>
    <w:rsid w:val="16E82EE6"/>
    <w:rsid w:val="171A7D6E"/>
    <w:rsid w:val="1DD33646"/>
    <w:rsid w:val="200D64ED"/>
    <w:rsid w:val="21567D98"/>
    <w:rsid w:val="24727C58"/>
    <w:rsid w:val="252825E2"/>
    <w:rsid w:val="26445DE8"/>
    <w:rsid w:val="2AD50E91"/>
    <w:rsid w:val="2B5A79BF"/>
    <w:rsid w:val="2E2259D0"/>
    <w:rsid w:val="31422947"/>
    <w:rsid w:val="32A96712"/>
    <w:rsid w:val="342059E6"/>
    <w:rsid w:val="3CBF40A9"/>
    <w:rsid w:val="3D842E4D"/>
    <w:rsid w:val="3EB70CDB"/>
    <w:rsid w:val="3FEA4B3F"/>
    <w:rsid w:val="402C3089"/>
    <w:rsid w:val="41910232"/>
    <w:rsid w:val="47010985"/>
    <w:rsid w:val="47420163"/>
    <w:rsid w:val="48343D67"/>
    <w:rsid w:val="4C01344A"/>
    <w:rsid w:val="4C4C7564"/>
    <w:rsid w:val="4D431FEF"/>
    <w:rsid w:val="4D944BD9"/>
    <w:rsid w:val="4F6530D9"/>
    <w:rsid w:val="500A1755"/>
    <w:rsid w:val="52940587"/>
    <w:rsid w:val="5B1815BC"/>
    <w:rsid w:val="5FC54FA8"/>
    <w:rsid w:val="606A6D43"/>
    <w:rsid w:val="63382BE2"/>
    <w:rsid w:val="64B33AF4"/>
    <w:rsid w:val="6CDD0942"/>
    <w:rsid w:val="6DAC3947"/>
    <w:rsid w:val="6E04103C"/>
    <w:rsid w:val="70415503"/>
    <w:rsid w:val="7220626A"/>
    <w:rsid w:val="776D4A3C"/>
    <w:rsid w:val="7D4041A5"/>
    <w:rsid w:val="7E4050F3"/>
    <w:rsid w:val="7ECF2537"/>
    <w:rsid w:val="7EF239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locked/>
    <w:uiPriority w:val="0"/>
    <w:rPr>
      <w:sz w:val="32"/>
      <w:szCs w:val="20"/>
    </w:rPr>
  </w:style>
  <w:style w:type="paragraph" w:styleId="3">
    <w:name w:val="Date"/>
    <w:basedOn w:val="1"/>
    <w:next w:val="1"/>
    <w:link w:val="13"/>
    <w:qFormat/>
    <w:uiPriority w:val="99"/>
    <w:pPr>
      <w:ind w:left="100" w:leftChars="2500"/>
    </w:pPr>
    <w:rPr>
      <w:rFonts w:ascii="宋体" w:hAnsi="宋体"/>
      <w:b/>
      <w:bCs/>
      <w:sz w:val="24"/>
    </w:r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日期 字符"/>
    <w:basedOn w:val="10"/>
    <w:link w:val="3"/>
    <w:semiHidden/>
    <w:qFormat/>
    <w:locked/>
    <w:uiPriority w:val="99"/>
    <w:rPr>
      <w:rFonts w:cs="Times New Roman"/>
      <w:sz w:val="24"/>
      <w:szCs w:val="24"/>
    </w:rPr>
  </w:style>
  <w:style w:type="character" w:customStyle="1" w:styleId="14">
    <w:name w:val="批注框文本 字符"/>
    <w:basedOn w:val="10"/>
    <w:link w:val="4"/>
    <w:semiHidden/>
    <w:qFormat/>
    <w:locked/>
    <w:uiPriority w:val="99"/>
    <w:rPr>
      <w:rFonts w:cs="Times New Roman"/>
      <w:sz w:val="2"/>
    </w:rPr>
  </w:style>
  <w:style w:type="character" w:customStyle="1" w:styleId="15">
    <w:name w:val="页脚 字符"/>
    <w:basedOn w:val="10"/>
    <w:link w:val="5"/>
    <w:qFormat/>
    <w:locked/>
    <w:uiPriority w:val="99"/>
    <w:rPr>
      <w:rFonts w:cs="Times New Roman"/>
      <w:sz w:val="18"/>
      <w:szCs w:val="18"/>
    </w:rPr>
  </w:style>
  <w:style w:type="character" w:customStyle="1" w:styleId="16">
    <w:name w:val="页眉 字符"/>
    <w:basedOn w:val="10"/>
    <w:link w:val="6"/>
    <w:semiHidden/>
    <w:qFormat/>
    <w:locked/>
    <w:uiPriority w:val="99"/>
    <w:rPr>
      <w:rFonts w:cs="Times New Roman"/>
      <w:sz w:val="18"/>
      <w:szCs w:val="18"/>
    </w:rPr>
  </w:style>
  <w:style w:type="character" w:customStyle="1" w:styleId="17">
    <w:name w:val="正文文本 字符"/>
    <w:basedOn w:val="10"/>
    <w:link w:val="2"/>
    <w:qFormat/>
    <w:uiPriority w:val="0"/>
    <w:rPr>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FF546-E273-41F5-9BA6-C9510AB9D410}">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284</Words>
  <Characters>1623</Characters>
  <Lines>13</Lines>
  <Paragraphs>3</Paragraphs>
  <TotalTime>17</TotalTime>
  <ScaleCrop>false</ScaleCrop>
  <LinksUpToDate>false</LinksUpToDate>
  <CharactersWithSpaces>1904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2020-04-17T03:53:00Z</dcterms:created>
  <dc:creator>刘社青</dc:creator>
  <cp:lastModifiedBy>PC</cp:lastModifiedBy>
  <cp:lastPrinted>2020-06-01T01:15:54Z</cp:lastPrinted>
  <dcterms:modified xsi:type="dcterms:W3CDTF">2020-06-01T01:36:04Z</dcterms:modified>
  <dc:title>永湖镇福地村地段68861平方米</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