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021</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惠州市</w:t>
      </w:r>
      <w:r>
        <w:rPr>
          <w:rFonts w:hint="eastAsia" w:ascii="仿宋_GB2312" w:hAnsi="仿宋_GB2312" w:eastAsia="仿宋_GB2312" w:cs="仿宋_GB2312"/>
          <w:sz w:val="32"/>
          <w:szCs w:val="32"/>
          <w:highlight w:val="none"/>
          <w:shd w:val="clear" w:color="auto" w:fill="auto"/>
        </w:rPr>
        <w:t>人民政府批准，受惠州市自然资源局委托，本中心以网上挂牌交易方式出让下列国有建设用地使用权。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21</w:t>
      </w:r>
      <w:bookmarkStart w:id="8" w:name="_GoBack"/>
      <w:bookmarkEnd w:id="8"/>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（二）用地位置：惠州市惠城区</w:t>
      </w:r>
      <w:r>
        <w:rPr>
          <w:rFonts w:hint="eastAsia" w:ascii="仿宋_GB2312" w:hAnsi="仿宋_GB2312" w:eastAsia="仿宋_GB2312" w:cs="仿宋_GB2312"/>
          <w:sz w:val="32"/>
          <w:szCs w:val="32"/>
          <w:highlight w:val="none"/>
          <w:shd w:val="clear" w:color="auto" w:fill="auto"/>
        </w:rPr>
        <w:t>河南岸片区HNA42-1-1地块</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地下空间）；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（三）地块编号：</w:t>
      </w:r>
      <w:r>
        <w:rPr>
          <w:rFonts w:hint="eastAsia" w:ascii="仿宋_GB2312" w:hAnsi="仿宋_GB2312" w:eastAsia="仿宋_GB2312" w:cs="仿宋_GB2312"/>
          <w:sz w:val="32"/>
          <w:szCs w:val="32"/>
          <w:highlight w:val="none"/>
          <w:shd w:val="clear" w:color="auto" w:fill="auto"/>
        </w:rPr>
        <w:t>HNA42-1-1</w:t>
      </w:r>
      <w:r>
        <w:rPr>
          <w:rFonts w:hint="eastAsia" w:ascii="仿宋_GB2312" w:hAnsi="仿宋_GB2312" w:eastAsia="仿宋_GB2312" w:cs="仿宋_GB2312"/>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default" w:ascii="Times New Roman" w:hAnsi="Times New Roman" w:eastAsia="仿宋_GB2312" w:cs="Times New Roman"/>
          <w:color w:val="auto"/>
          <w:sz w:val="32"/>
          <w:szCs w:val="32"/>
          <w:highlight w:val="none"/>
        </w:rPr>
        <w:t>《</w:t>
      </w:r>
      <w:r>
        <w:rPr>
          <w:rFonts w:hint="eastAsia" w:eastAsia="仿宋_GB2312" w:cs="Times New Roman"/>
          <w:sz w:val="32"/>
          <w:szCs w:val="32"/>
        </w:rPr>
        <w:t>建设用地规划设计条件</w:t>
      </w:r>
      <w:r>
        <w:rPr>
          <w:rFonts w:hint="default" w:ascii="Times New Roman" w:hAnsi="Times New Roman" w:eastAsia="仿宋_GB2312" w:cs="Times New Roman"/>
          <w:color w:val="auto"/>
          <w:sz w:val="32"/>
          <w:szCs w:val="32"/>
          <w:highlight w:val="none"/>
        </w:rPr>
        <w:t>》</w:t>
      </w:r>
      <w:r>
        <w:rPr>
          <w:rFonts w:hint="eastAsia" w:eastAsia="仿宋_GB2312" w:cs="Times New Roman"/>
          <w:sz w:val="32"/>
          <w:szCs w:val="32"/>
        </w:rPr>
        <w:t>（案卷编号</w:t>
      </w:r>
      <w:r>
        <w:rPr>
          <w:rFonts w:hint="eastAsia" w:ascii="仿宋_GB2312" w:hAnsi="仿宋_GB2312" w:eastAsia="仿宋_GB2312" w:cs="仿宋_GB2312"/>
          <w:sz w:val="32"/>
          <w:szCs w:val="32"/>
          <w:highlight w:val="none"/>
          <w:shd w:val="clear" w:color="auto" w:fill="auto"/>
        </w:rPr>
        <w:t>：PB20210097）规定为准；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地下宗地使用权面积为：7794.87平方米；</w:t>
      </w:r>
    </w:p>
    <w:p>
      <w:pPr>
        <w:pStyle w:val="3"/>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（六）地下室界线：7795平方米；</w:t>
      </w:r>
    </w:p>
    <w:p>
      <w:pPr>
        <w:ind w:firstLine="640" w:firstLineChars="200"/>
        <w:rPr>
          <w:rFonts w:hint="default"/>
          <w:lang w:val="en-US" w:eastAsia="zh-CN"/>
        </w:rPr>
      </w:pPr>
      <w:r>
        <w:rPr>
          <w:rFonts w:hint="eastAsia" w:ascii="仿宋_GB2312" w:hAnsi="仿宋_GB2312" w:eastAsia="仿宋_GB2312" w:cs="仿宋_GB2312"/>
          <w:sz w:val="32"/>
          <w:szCs w:val="32"/>
          <w:highlight w:val="none"/>
          <w:shd w:val="clear" w:color="auto" w:fill="auto"/>
          <w:lang w:val="en-US" w:eastAsia="zh-CN"/>
        </w:rPr>
        <w:t>（七）建筑红线内面积：7795平方米；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（八）计算指标用地面积为：8814平方米；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（九）计容积率建筑面积：≤705；</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（十）容积率为：≤0.08；</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（十一）机动车停车位配建标准：地下公共停车位200-220个；</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（十二）土地用途为：交通服务场站用地；</w:t>
      </w:r>
    </w:p>
    <w:p>
      <w:pPr>
        <w:pStyle w:val="3"/>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（十三）用地性质：公园绿地；</w:t>
      </w:r>
    </w:p>
    <w:p>
      <w:pPr>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（十四）用地兼容性：社会停车场用地；</w:t>
      </w:r>
    </w:p>
    <w:p>
      <w:pPr>
        <w:pStyle w:val="3"/>
        <w:ind w:firstLine="640" w:firstLineChars="200"/>
        <w:rPr>
          <w:rFonts w:hint="default"/>
          <w:lang w:val="en-US" w:eastAsia="zh-CN"/>
        </w:rPr>
      </w:pPr>
      <w:r>
        <w:rPr>
          <w:rFonts w:hint="eastAsia" w:ascii="仿宋_GB2312" w:hAnsi="仿宋_GB2312" w:eastAsia="仿宋_GB2312" w:cs="仿宋_GB2312"/>
          <w:sz w:val="32"/>
          <w:szCs w:val="32"/>
          <w:highlight w:val="none"/>
          <w:shd w:val="clear" w:color="auto" w:fill="auto"/>
          <w:lang w:val="en-US" w:eastAsia="zh-CN"/>
        </w:rPr>
        <w:t>（十五）适建性：公园、停车库及配套设施；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（十六）土地使用权出让年限为：50年；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（十七） 动工及竣工时间：该地块动工时间为地块交付之日起一年内，竣工时间为土地交付之日起三年内（因不可抗拒因素除外）；</w:t>
      </w:r>
    </w:p>
    <w:p>
      <w:pPr>
        <w:spacing w:line="560" w:lineRule="exact"/>
        <w:ind w:firstLine="627" w:firstLineChars="196"/>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（十八）</w:t>
      </w:r>
      <w:r>
        <w:rPr>
          <w:rFonts w:eastAsia="仿宋_GB2312" w:cs="Times New Roman"/>
          <w:sz w:val="32"/>
          <w:szCs w:val="32"/>
        </w:rPr>
        <w:t>竞得人在缴清地价款后一个月内办理交地手续，凭《交地确认书》、《出让合同》（正本）和地价款交款凭证等申请办理土地初始登记，领取《不动产权证书》</w:t>
      </w:r>
      <w:r>
        <w:rPr>
          <w:rFonts w:hint="eastAsia" w:ascii="仿宋_GB2312" w:hAnsi="仿宋_GB2312" w:eastAsia="仿宋_GB2312" w:cs="仿宋_GB2312"/>
          <w:sz w:val="32"/>
          <w:szCs w:val="32"/>
          <w:highlight w:val="none"/>
          <w:shd w:val="clear" w:color="auto" w:fill="auto"/>
          <w:lang w:val="en-US" w:eastAsia="zh-CN"/>
        </w:rPr>
        <w:t xml:space="preserve">。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3250</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建设用地规划设计条件</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（案卷编号：PB20210097）的规划控制指标要求及有关规定进行规划设计。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（三）土地成交价</w:t>
      </w:r>
      <w:r>
        <w:rPr>
          <w:rFonts w:hint="eastAsia" w:ascii="仿宋_GB2312" w:hAnsi="仿宋_GB2312" w:eastAsia="仿宋_GB2312" w:cs="仿宋_GB2312"/>
          <w:sz w:val="32"/>
          <w:szCs w:val="32"/>
        </w:rPr>
        <w:t>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60" w:lineRule="exact"/>
        <w:ind w:firstLine="640" w:firstLineChars="200"/>
        <w:rPr>
          <w:rFonts w:hint="eastAsia"/>
        </w:rPr>
      </w:pPr>
      <w:r>
        <w:rPr>
          <w:rFonts w:hint="eastAsia" w:eastAsia="仿宋_GB2312" w:cs="Times New Roman"/>
          <w:sz w:val="32"/>
          <w:szCs w:val="32"/>
          <w:highlight w:val="none"/>
          <w:lang w:eastAsia="zh-CN"/>
        </w:rPr>
        <w:t>（</w:t>
      </w:r>
      <w:r>
        <w:rPr>
          <w:rFonts w:eastAsia="仿宋_GB2312" w:cs="Times New Roman"/>
          <w:sz w:val="32"/>
          <w:szCs w:val="32"/>
          <w:highlight w:val="none"/>
        </w:rPr>
        <w:t>四）该地权利清晰，安置补偿落实到位，没有法律经济纠纷，具备动工开发所必须的基本条件。</w:t>
      </w:r>
    </w:p>
    <w:p>
      <w:pPr>
        <w:pStyle w:val="3"/>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（五）其它条件：</w:t>
      </w:r>
    </w:p>
    <w:p>
      <w:pPr>
        <w:ind w:firstLine="640" w:firstLineChars="200"/>
        <w:rPr>
          <w:rFonts w:hint="eastAsia"/>
          <w:lang w:val="en-US" w:eastAsia="zh-CN"/>
        </w:rPr>
      </w:pPr>
      <w:r>
        <w:rPr>
          <w:rFonts w:hint="eastAsia" w:ascii="仿宋_GB2312" w:hAnsi="仿宋_GB2312" w:eastAsia="仿宋_GB2312" w:cs="仿宋_GB2312"/>
          <w:kern w:val="44"/>
          <w:sz w:val="32"/>
          <w:szCs w:val="32"/>
          <w:lang w:val="en-US" w:eastAsia="zh-CN" w:bidi="ar-SA"/>
        </w:rPr>
        <w:t>1</w:t>
      </w:r>
      <w:r>
        <w:rPr>
          <w:rFonts w:hint="eastAsia" w:eastAsia="仿宋_GB2312" w:cs="Times New Roman"/>
          <w:sz w:val="32"/>
          <w:szCs w:val="32"/>
          <w:lang w:val="en-US" w:eastAsia="zh-CN"/>
        </w:rPr>
        <w:t>、</w:t>
      </w:r>
      <w:r>
        <w:rPr>
          <w:rFonts w:eastAsia="仿宋_GB2312" w:cs="Times New Roman"/>
          <w:sz w:val="32"/>
          <w:szCs w:val="32"/>
        </w:rPr>
        <w:t>取得地下停车场建设权的单位应按照《建设用地规划设计条件》的规划要求进行建设。</w:t>
      </w:r>
    </w:p>
    <w:p>
      <w:pPr>
        <w:spacing w:line="560" w:lineRule="exact"/>
        <w:ind w:firstLine="640" w:firstLineChars="20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2、因修建城市道路及地下停车场，原公园内受影响的垃圾转运站及篮球场、老年门球场、休闲运动场地等设施，须按按照不小于现有规模的标准，由取得地下停车场建设权的单位在HNA42-1-1和HNA42-1-2地块内统筹还建。</w:t>
      </w:r>
    </w:p>
    <w:p>
      <w:pPr>
        <w:keepNext/>
        <w:keepLines/>
        <w:outlineLvl w:val="0"/>
        <w:rPr>
          <w:rFonts w:hint="default"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 xml:space="preserve">    3、地块竞得人需按规划要求承担地块西侧道路（包括污水管、电力电缆沟和通信管群）的建设，建成后无偿移交给政府相关部门，并将道路开放给公众使用。</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eastAsia="仿宋_GB2312" w:cs="Times New Roman"/>
          <w:sz w:val="32"/>
          <w:szCs w:val="32"/>
        </w:rPr>
        <w:t>3</w:t>
      </w:r>
      <w:r>
        <w:rPr>
          <w:rFonts w:eastAsia="仿宋_GB2312" w:cs="Times New Roman"/>
          <w:sz w:val="32"/>
          <w:szCs w:val="32"/>
        </w:rPr>
        <w:t>1</w:t>
      </w:r>
      <w:r>
        <w:rPr>
          <w:rFonts w:hint="eastAsia" w:eastAsia="仿宋_GB2312" w:cs="Times New Roman"/>
          <w:sz w:val="32"/>
          <w:szCs w:val="32"/>
        </w:rPr>
        <w:t>5万元人民币</w:t>
      </w:r>
      <w:r>
        <w:rPr>
          <w:rFonts w:eastAsia="仿宋_GB2312" w:cs="Times New Roman"/>
          <w:sz w:val="32"/>
          <w:szCs w:val="32"/>
        </w:rPr>
        <w:t>或等值外币（美元</w:t>
      </w:r>
      <w:r>
        <w:rPr>
          <w:rFonts w:hint="eastAsia" w:eastAsia="仿宋_GB2312" w:cs="Times New Roman"/>
          <w:sz w:val="32"/>
          <w:szCs w:val="32"/>
        </w:rPr>
        <w:t>5</w:t>
      </w:r>
      <w:r>
        <w:rPr>
          <w:rFonts w:eastAsia="仿宋_GB2312" w:cs="Times New Roman"/>
          <w:sz w:val="32"/>
          <w:szCs w:val="32"/>
        </w:rPr>
        <w:t>0万元、港币389万元）</w:t>
      </w:r>
      <w:r>
        <w:rPr>
          <w:rFonts w:hint="eastAsia" w:ascii="仿宋_GB2312" w:hAnsi="仿宋_GB2312" w:eastAsia="仿宋_GB2312" w:cs="仿宋_GB2312"/>
          <w:kern w:val="0"/>
          <w:sz w:val="32"/>
          <w:szCs w:val="32"/>
          <w:highlight w:val="none"/>
          <w:shd w:val="clear" w:color="auto" w:fill="auto"/>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spacing w:line="560" w:lineRule="exact"/>
        <w:ind w:firstLine="640" w:firstLineChars="20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1.存在伪造公文骗取用地和非法倒卖土地等犯罪行为的；</w:t>
      </w:r>
    </w:p>
    <w:p>
      <w:pPr>
        <w:spacing w:line="560" w:lineRule="exact"/>
        <w:ind w:firstLine="640" w:firstLineChars="20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2.存在非法转让土地使用权等违法行为的；</w:t>
      </w:r>
    </w:p>
    <w:p>
      <w:pPr>
        <w:spacing w:line="560" w:lineRule="exact"/>
        <w:ind w:firstLine="640" w:firstLineChars="20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3.因企业原因造成土地闲置一年以上且至报名日止未处罚完结的；</w:t>
      </w:r>
    </w:p>
    <w:p>
      <w:pPr>
        <w:spacing w:line="560" w:lineRule="exact"/>
        <w:ind w:firstLine="640" w:firstLineChars="20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4.开发建设企业有违背出让合同约定条件开发利用土地情形且至报名日止未处罚完结的；</w:t>
      </w:r>
    </w:p>
    <w:p>
      <w:pPr>
        <w:spacing w:line="560" w:lineRule="exact"/>
        <w:ind w:firstLine="640" w:firstLineChars="20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5.至报名日止仍拖欠政府地价款的;</w:t>
      </w:r>
    </w:p>
    <w:p>
      <w:pPr>
        <w:spacing w:line="560" w:lineRule="exact"/>
        <w:ind w:firstLine="640" w:firstLineChars="20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6.被列入问题楼盘开发企业黑名单的;</w:t>
      </w:r>
    </w:p>
    <w:p>
      <w:pPr>
        <w:spacing w:line="560" w:lineRule="exact"/>
        <w:ind w:firstLine="640" w:firstLineChars="200"/>
        <w:rPr>
          <w:rFonts w:eastAsia="仿宋_GB2312" w:cs="Times New Roman"/>
          <w:sz w:val="32"/>
          <w:szCs w:val="32"/>
        </w:rPr>
      </w:pPr>
      <w:r>
        <w:rPr>
          <w:rFonts w:hint="eastAsia" w:ascii="仿宋_GB2312" w:hAnsi="仿宋_GB2312" w:eastAsia="仿宋_GB2312" w:cs="仿宋_GB2312"/>
          <w:kern w:val="44"/>
          <w:sz w:val="32"/>
          <w:szCs w:val="32"/>
          <w:lang w:val="en-US" w:eastAsia="zh-CN" w:bidi="ar-SA"/>
        </w:rPr>
        <w:t>7.存在其它被禁止竞买土地行为的。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壹仟零伍拾万元整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1050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8月18</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eastAsia="仿宋_GB2312" w:cs="Times New Roman"/>
          <w:sz w:val="32"/>
          <w:szCs w:val="32"/>
        </w:rPr>
        <w:t>《建设用地规划设计条件》（案卷</w:t>
      </w:r>
      <w:r>
        <w:rPr>
          <w:rFonts w:hint="eastAsia" w:ascii="仿宋_GB2312" w:hAnsi="仿宋_GB2312" w:eastAsia="仿宋_GB2312" w:cs="仿宋_GB2312"/>
          <w:sz w:val="32"/>
          <w:szCs w:val="32"/>
          <w:highlight w:val="none"/>
          <w:shd w:val="clear" w:color="auto" w:fill="auto"/>
        </w:rPr>
        <w:t>编号：PB20210097）；</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叁佰壹拾伍万元整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315</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（9）竞买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w:t>
      </w:r>
      <w:r>
        <w:rPr>
          <w:rFonts w:hint="eastAsia" w:ascii="仿宋_GB2312" w:hAnsi="仿宋_GB2312" w:eastAsia="仿宋_GB2312" w:cs="仿宋_GB2312"/>
          <w:sz w:val="32"/>
          <w:szCs w:val="32"/>
          <w:highlight w:val="none"/>
          <w:shd w:val="clear" w:color="auto" w:fill="auto"/>
          <w:lang w:val="en-US" w:eastAsia="zh-CN"/>
        </w:rPr>
        <w:t>得</w:t>
      </w:r>
      <w:r>
        <w:rPr>
          <w:rFonts w:hint="eastAsia" w:ascii="仿宋_GB2312" w:hAnsi="仿宋_GB2312" w:eastAsia="仿宋_GB2312" w:cs="仿宋_GB2312"/>
          <w:sz w:val="32"/>
          <w:szCs w:val="32"/>
          <w:highlight w:val="none"/>
          <w:shd w:val="clear" w:color="auto" w:fill="auto"/>
        </w:rPr>
        <w:t>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4"/>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w:t>
      </w:r>
      <w:r>
        <w:rPr>
          <w:rFonts w:hint="eastAsia" w:ascii="仿宋_GB2312" w:hAnsi="仿宋_GB2312" w:eastAsia="仿宋_GB2312" w:cs="仿宋_GB2312"/>
          <w:sz w:val="32"/>
          <w:szCs w:val="32"/>
          <w:highlight w:val="none"/>
        </w:rPr>
        <w:t>新成立公司必须是竞得人的全资子公司</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宋体"/>
          <w:color w:val="auto"/>
          <w:kern w:val="0"/>
          <w:sz w:val="32"/>
          <w:szCs w:val="32"/>
          <w:highlight w:val="none"/>
        </w:rPr>
        <w:t>即新公司的股东必须100%是竞买申请企业作为法人的股东</w:t>
      </w:r>
      <w:r>
        <w:rPr>
          <w:rFonts w:hint="default" w:ascii="Times New Roman" w:hAnsi="Times New Roman"/>
          <w:highlight w:val="none"/>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4"/>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成交价的10</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2022年7月28日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6"/>
        </w:pPr>
        <w:r>
          <w:fldChar w:fldCharType="begin"/>
        </w:r>
        <w:r>
          <w:instrText xml:space="preserve"> PAGE   \* MERGEFORMAT </w:instrText>
        </w:r>
        <w:r>
          <w:fldChar w:fldCharType="separate"/>
        </w:r>
        <w:r>
          <w:rPr>
            <w:lang w:val="zh-CN"/>
          </w:rPr>
          <w:t>-</w:t>
        </w:r>
        <w:r>
          <w:t xml:space="preserve"> 17 -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3913E5D"/>
    <w:rsid w:val="042C6BAB"/>
    <w:rsid w:val="049A30B4"/>
    <w:rsid w:val="04BB2A35"/>
    <w:rsid w:val="04F7599A"/>
    <w:rsid w:val="05280DC9"/>
    <w:rsid w:val="054F511E"/>
    <w:rsid w:val="05616BEE"/>
    <w:rsid w:val="05AA6043"/>
    <w:rsid w:val="062E1CCB"/>
    <w:rsid w:val="065D58C0"/>
    <w:rsid w:val="06E22DF8"/>
    <w:rsid w:val="071F73B3"/>
    <w:rsid w:val="077D5D24"/>
    <w:rsid w:val="07F629A0"/>
    <w:rsid w:val="08AF4C20"/>
    <w:rsid w:val="091E26EA"/>
    <w:rsid w:val="09317644"/>
    <w:rsid w:val="097F0039"/>
    <w:rsid w:val="0A771CCA"/>
    <w:rsid w:val="0A812477"/>
    <w:rsid w:val="0B1406EF"/>
    <w:rsid w:val="0C40433F"/>
    <w:rsid w:val="0C8642BF"/>
    <w:rsid w:val="0D261A5B"/>
    <w:rsid w:val="0DCB3B54"/>
    <w:rsid w:val="0F0E558C"/>
    <w:rsid w:val="0FB217AF"/>
    <w:rsid w:val="0FB2799E"/>
    <w:rsid w:val="10152918"/>
    <w:rsid w:val="105A2768"/>
    <w:rsid w:val="105C6B40"/>
    <w:rsid w:val="10A1573B"/>
    <w:rsid w:val="10B43BC1"/>
    <w:rsid w:val="10CB5B31"/>
    <w:rsid w:val="111E117E"/>
    <w:rsid w:val="11A17A14"/>
    <w:rsid w:val="12295A9F"/>
    <w:rsid w:val="141106B3"/>
    <w:rsid w:val="14924D3E"/>
    <w:rsid w:val="14D40026"/>
    <w:rsid w:val="15BB632B"/>
    <w:rsid w:val="15C4392F"/>
    <w:rsid w:val="15D340EA"/>
    <w:rsid w:val="16615977"/>
    <w:rsid w:val="168C318D"/>
    <w:rsid w:val="16AE6DA7"/>
    <w:rsid w:val="170F4C1C"/>
    <w:rsid w:val="1729355A"/>
    <w:rsid w:val="17DA4A92"/>
    <w:rsid w:val="18220C10"/>
    <w:rsid w:val="18720B28"/>
    <w:rsid w:val="19546A32"/>
    <w:rsid w:val="1960257D"/>
    <w:rsid w:val="19D941D6"/>
    <w:rsid w:val="1B002CF4"/>
    <w:rsid w:val="1C431BA6"/>
    <w:rsid w:val="1CB6407B"/>
    <w:rsid w:val="1D717DCD"/>
    <w:rsid w:val="1DE56E00"/>
    <w:rsid w:val="1E46102C"/>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4731E"/>
    <w:rsid w:val="25D63F7C"/>
    <w:rsid w:val="25E54340"/>
    <w:rsid w:val="26391FD0"/>
    <w:rsid w:val="26741665"/>
    <w:rsid w:val="272C05B0"/>
    <w:rsid w:val="281D1027"/>
    <w:rsid w:val="282C1E6E"/>
    <w:rsid w:val="28D14CFE"/>
    <w:rsid w:val="28D2352A"/>
    <w:rsid w:val="28ED736B"/>
    <w:rsid w:val="28EE041F"/>
    <w:rsid w:val="29220F8B"/>
    <w:rsid w:val="29DE5841"/>
    <w:rsid w:val="2A4D2521"/>
    <w:rsid w:val="2A636D11"/>
    <w:rsid w:val="2AA45603"/>
    <w:rsid w:val="2B107706"/>
    <w:rsid w:val="2B1A2077"/>
    <w:rsid w:val="2CA246FC"/>
    <w:rsid w:val="2CAE2771"/>
    <w:rsid w:val="2CD752D7"/>
    <w:rsid w:val="2D027EED"/>
    <w:rsid w:val="2D2632FD"/>
    <w:rsid w:val="2DB067B6"/>
    <w:rsid w:val="2DEB4267"/>
    <w:rsid w:val="2F0337D6"/>
    <w:rsid w:val="2F944F64"/>
    <w:rsid w:val="2FA2409E"/>
    <w:rsid w:val="30AC5587"/>
    <w:rsid w:val="30DB33EE"/>
    <w:rsid w:val="313D23E2"/>
    <w:rsid w:val="31880862"/>
    <w:rsid w:val="31B60A9D"/>
    <w:rsid w:val="31EA6469"/>
    <w:rsid w:val="324E22EE"/>
    <w:rsid w:val="33A33367"/>
    <w:rsid w:val="33CE0AAA"/>
    <w:rsid w:val="34836833"/>
    <w:rsid w:val="34B40523"/>
    <w:rsid w:val="34C41D04"/>
    <w:rsid w:val="34CD617E"/>
    <w:rsid w:val="3588604B"/>
    <w:rsid w:val="360B04FE"/>
    <w:rsid w:val="361C1DB9"/>
    <w:rsid w:val="378C6660"/>
    <w:rsid w:val="37FB7A76"/>
    <w:rsid w:val="38703C12"/>
    <w:rsid w:val="38A76E9E"/>
    <w:rsid w:val="38DE5E51"/>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0B00A8"/>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076A91"/>
    <w:rsid w:val="493B6F1B"/>
    <w:rsid w:val="49EA4586"/>
    <w:rsid w:val="4AFF2E69"/>
    <w:rsid w:val="4B8E7FA9"/>
    <w:rsid w:val="4BA610FC"/>
    <w:rsid w:val="4BC3115D"/>
    <w:rsid w:val="4BEE1CA4"/>
    <w:rsid w:val="4CF51C39"/>
    <w:rsid w:val="4D1F6077"/>
    <w:rsid w:val="4DC8070E"/>
    <w:rsid w:val="4E0017E7"/>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CDC2EAF"/>
    <w:rsid w:val="5D006096"/>
    <w:rsid w:val="5D731ABE"/>
    <w:rsid w:val="5DB15592"/>
    <w:rsid w:val="5DF81F1B"/>
    <w:rsid w:val="5DFB50B1"/>
    <w:rsid w:val="5E2E0948"/>
    <w:rsid w:val="5EE41DB0"/>
    <w:rsid w:val="5F560C0B"/>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1B7B5A"/>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72433E"/>
    <w:rsid w:val="78CA1EAE"/>
    <w:rsid w:val="792409A3"/>
    <w:rsid w:val="7A881483"/>
    <w:rsid w:val="7A962112"/>
    <w:rsid w:val="7AE44F5D"/>
    <w:rsid w:val="7B3065F7"/>
    <w:rsid w:val="7B4F2E9A"/>
    <w:rsid w:val="7B8363CD"/>
    <w:rsid w:val="7CC0534B"/>
    <w:rsid w:val="7CF94C76"/>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outlineLvl w:val="0"/>
    </w:pPr>
    <w:rPr>
      <w:rFonts w:eastAsia="楷体"/>
      <w:kern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4">
    <w:name w:val="Body Text Indent"/>
    <w:basedOn w:val="1"/>
    <w:link w:val="20"/>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Plain Text"/>
    <w:basedOn w:val="1"/>
    <w:qFormat/>
    <w:uiPriority w:val="0"/>
    <w:rPr>
      <w:rFonts w:ascii="宋体" w:hAnsi="Courier New"/>
      <w:kern w:val="0"/>
      <w:sz w:val="32"/>
      <w:szCs w:val="32"/>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7AB7"/>
      <w:u w:val="none"/>
    </w:rPr>
  </w:style>
  <w:style w:type="character" w:styleId="13">
    <w:name w:val="HTML Definition"/>
    <w:basedOn w:val="10"/>
    <w:qFormat/>
    <w:uiPriority w:val="0"/>
    <w:rPr>
      <w:i/>
      <w:color w:val="555555"/>
      <w:sz w:val="21"/>
      <w:szCs w:val="21"/>
      <w:bdr w:val="single" w:color="CCCCCC" w:sz="6" w:space="0"/>
      <w:shd w:val="clear" w:fill="EEEEEE"/>
    </w:rPr>
  </w:style>
  <w:style w:type="character" w:styleId="14">
    <w:name w:val="Hyperlink"/>
    <w:basedOn w:val="10"/>
    <w:qFormat/>
    <w:uiPriority w:val="0"/>
    <w:rPr>
      <w:color w:val="337AB7"/>
      <w:u w:val="none"/>
    </w:rPr>
  </w:style>
  <w:style w:type="character" w:styleId="15">
    <w:name w:val="HTML Code"/>
    <w:basedOn w:val="10"/>
    <w:qFormat/>
    <w:uiPriority w:val="0"/>
    <w:rPr>
      <w:rFonts w:hint="default" w:ascii="Consolas" w:hAnsi="Consolas" w:eastAsia="Consolas" w:cs="Consolas"/>
      <w:color w:val="C7254E"/>
      <w:sz w:val="21"/>
      <w:szCs w:val="21"/>
      <w:shd w:val="clear" w:fill="F9F2F4"/>
    </w:rPr>
  </w:style>
  <w:style w:type="character" w:styleId="16">
    <w:name w:val="HTML Keyboard"/>
    <w:basedOn w:val="10"/>
    <w:qFormat/>
    <w:uiPriority w:val="0"/>
    <w:rPr>
      <w:rFonts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页眉 Char"/>
    <w:basedOn w:val="10"/>
    <w:link w:val="7"/>
    <w:qFormat/>
    <w:uiPriority w:val="0"/>
    <w:rPr>
      <w:rFonts w:ascii="Calibri" w:hAnsi="Calibri"/>
      <w:kern w:val="2"/>
      <w:sz w:val="18"/>
      <w:szCs w:val="18"/>
    </w:rPr>
  </w:style>
  <w:style w:type="character" w:customStyle="1" w:styleId="19">
    <w:name w:val="页脚 Char"/>
    <w:basedOn w:val="10"/>
    <w:link w:val="6"/>
    <w:qFormat/>
    <w:uiPriority w:val="99"/>
    <w:rPr>
      <w:rFonts w:ascii="Calibri" w:hAnsi="Calibri"/>
      <w:kern w:val="2"/>
      <w:sz w:val="18"/>
      <w:szCs w:val="22"/>
    </w:rPr>
  </w:style>
  <w:style w:type="character" w:customStyle="1" w:styleId="20">
    <w:name w:val="正文文本缩进 Char"/>
    <w:basedOn w:val="10"/>
    <w:link w:val="4"/>
    <w:qFormat/>
    <w:uiPriority w:val="0"/>
    <w:rPr>
      <w:rFonts w:ascii="仿宋_GB2312" w:hAnsi="华文中宋" w:eastAsia="仿宋_GB2312"/>
      <w:sz w:val="32"/>
      <w:szCs w:val="24"/>
    </w:rPr>
  </w:style>
  <w:style w:type="character" w:customStyle="1" w:styleId="21">
    <w:name w:val="actspan"/>
    <w:basedOn w:val="10"/>
    <w:qFormat/>
    <w:uiPriority w:val="0"/>
  </w:style>
  <w:style w:type="character" w:customStyle="1" w:styleId="22">
    <w:name w:val="layui-layer-tabnow"/>
    <w:basedOn w:val="10"/>
    <w:qFormat/>
    <w:uiPriority w:val="0"/>
    <w:rPr>
      <w:bdr w:val="single" w:color="CCCCCC" w:sz="6" w:space="0"/>
      <w:shd w:val="clear" w:fill="FFFFFF"/>
    </w:rPr>
  </w:style>
  <w:style w:type="character" w:customStyle="1" w:styleId="23">
    <w:name w:val="first-child"/>
    <w:basedOn w:val="10"/>
    <w:qFormat/>
    <w:uiPriority w:val="0"/>
  </w:style>
  <w:style w:type="character" w:customStyle="1" w:styleId="24">
    <w:name w:val="actspan2"/>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2022-05-10T02:51:00Z</cp:lastPrinted>
  <dcterms:modified xsi:type="dcterms:W3CDTF">2022-07-29T01:23:31Z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