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sOu7O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F7Druz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4b2nFOQBAADb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3jKTVAAAABwEA&#10;AA8AAAAAAAAAAQAgAAAAIgAAAGRycy9kb3ducmV2LnhtbFBLAQIUABQAAAAIAIdO4kDhvacU5AEA&#10;ANsDAAAOAAAAAAAAAAEAIAAAACQBAABkcnMvZTJvRG9jLnhtbFBLBQYAAAAABgAGAFkBAAB6BQAA&#10;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rPr>
        <w:t>贰万叁仟玖佰捌拾玖</w:t>
      </w:r>
      <w:r>
        <w:rPr>
          <w:rFonts w:ascii="仿宋_GB2312" w:hAnsi="宋体" w:eastAsia="仿宋_GB2312" w:cs="仿宋_GB2312"/>
          <w:u w:val="single"/>
        </w:rPr>
        <w:t>点柒陆</w:t>
      </w:r>
      <w:r>
        <w:rPr>
          <w:rFonts w:hint="eastAsia" w:ascii="仿宋_GB2312" w:hAnsi="宋体" w:eastAsia="仿宋_GB2312" w:cs="仿宋_GB2312"/>
        </w:rPr>
        <w:t>平方米（小写</w:t>
      </w:r>
      <w:r>
        <w:rPr>
          <w:rFonts w:ascii="仿宋_GB2312" w:hAnsi="宋体" w:eastAsia="仿宋_GB2312" w:cs="仿宋_GB2312"/>
          <w:u w:val="single"/>
        </w:rPr>
        <w:t>23989.76</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贰万叁仟肆佰柒拾捌点</w:t>
      </w:r>
      <w:r>
        <w:rPr>
          <w:rFonts w:ascii="仿宋_GB2312" w:hAnsi="宋体" w:eastAsia="仿宋_GB2312" w:cs="仿宋_GB2312"/>
          <w:u w:val="single"/>
        </w:rPr>
        <w:t>叁</w:t>
      </w:r>
      <w:r>
        <w:rPr>
          <w:rFonts w:hint="eastAsia" w:ascii="仿宋_GB2312" w:hAnsi="宋体" w:eastAsia="仿宋_GB2312" w:cs="仿宋_GB2312"/>
        </w:rPr>
        <w:t>平方米（小写</w:t>
      </w:r>
      <w:r>
        <w:rPr>
          <w:rFonts w:ascii="仿宋_GB2312" w:hAnsi="宋体" w:eastAsia="仿宋_GB2312" w:cs="仿宋_GB2312"/>
          <w:u w:val="single"/>
        </w:rPr>
        <w:t>23478.3</w:t>
      </w:r>
      <w:r>
        <w:rPr>
          <w:rFonts w:hint="eastAsia" w:ascii="仿宋_GB2312" w:hAnsi="宋体" w:eastAsia="仿宋_GB2312" w:cs="仿宋_GB2312"/>
        </w:rPr>
        <w:t>平方米），</w:t>
      </w:r>
      <w:r>
        <w:rPr>
          <w:rFonts w:ascii="仿宋_GB2312" w:hAnsi="宋体" w:eastAsia="仿宋_GB2312" w:cs="仿宋_GB2312"/>
        </w:rPr>
        <w:t>地下室宗地面积</w:t>
      </w:r>
      <w:r>
        <w:rPr>
          <w:rFonts w:hint="eastAsia" w:ascii="仿宋_GB2312" w:hAnsi="宋体" w:eastAsia="仿宋_GB2312" w:cs="仿宋_GB2312"/>
        </w:rPr>
        <w:t>为大写</w:t>
      </w:r>
      <w:r>
        <w:rPr>
          <w:rFonts w:hint="eastAsia" w:ascii="仿宋_GB2312" w:hAnsi="宋体" w:eastAsia="仿宋_GB2312" w:cs="仿宋_GB2312"/>
          <w:u w:val="single"/>
        </w:rPr>
        <w:t>壹万柒仟玖佰肆拾点</w:t>
      </w:r>
      <w:r>
        <w:rPr>
          <w:rFonts w:ascii="仿宋_GB2312" w:hAnsi="宋体" w:eastAsia="仿宋_GB2312" w:cs="仿宋_GB2312"/>
          <w:u w:val="single"/>
        </w:rPr>
        <w:t>壹壹</w:t>
      </w:r>
      <w:r>
        <w:rPr>
          <w:rFonts w:hint="eastAsia" w:ascii="仿宋_GB2312" w:hAnsi="宋体" w:eastAsia="仿宋_GB2312" w:cs="仿宋_GB2312"/>
        </w:rPr>
        <w:t>平方米（小写</w:t>
      </w:r>
      <w:r>
        <w:rPr>
          <w:rFonts w:ascii="仿宋_GB2312" w:hAnsi="宋体" w:eastAsia="仿宋_GB2312" w:cs="仿宋_GB2312"/>
          <w:u w:val="single"/>
        </w:rPr>
        <w:t>17940.11</w:t>
      </w:r>
      <w:r>
        <w:rPr>
          <w:rFonts w:hint="eastAsia" w:ascii="仿宋_GB2312" w:hAnsi="宋体" w:eastAsia="仿宋_GB2312" w:cs="仿宋_GB2312"/>
        </w:rPr>
        <w:t>平方米）。</w:t>
      </w:r>
    </w:p>
    <w:p>
      <w:pPr>
        <w:pStyle w:val="2"/>
        <w:ind w:left="160" w:leftChars="76" w:firstLine="483" w:firstLineChars="151"/>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仿宋" w:eastAsia="仿宋_GB2312"/>
          <w:u w:val="single"/>
        </w:rPr>
        <w:t>龙丰EL-04地块</w:t>
      </w:r>
      <w:r>
        <w:rPr>
          <w:rFonts w:ascii="仿宋_GB2312" w:hAnsi="仿宋" w:eastAsia="仿宋_GB2312"/>
          <w:u w:val="single"/>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交通服务场站用地、</w:t>
      </w:r>
      <w:r>
        <w:rPr>
          <w:rFonts w:ascii="仿宋_GB2312" w:hAnsi="宋体" w:eastAsia="仿宋_GB2312" w:cs="仿宋_GB2312"/>
          <w:u w:val="single"/>
        </w:rPr>
        <w:t>商服用地及体育用地</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交通服务场站用地50年、商服用地40年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w:t>
      </w:r>
      <w:r>
        <w:rPr>
          <w:rFonts w:hint="eastAsia" w:ascii="仿宋_GB2312" w:hAnsi="宋体" w:eastAsia="仿宋_GB2312" w:cs="仿宋_GB2312"/>
          <w:u w:val="single"/>
        </w:rPr>
        <w:t>详见《建设用地规划设计条件》</w:t>
      </w:r>
      <w:r>
        <w:rPr>
          <w:rFonts w:ascii="仿宋_GB2312" w:hAnsi="宋体" w:eastAsia="仿宋_GB2312" w:cs="仿宋_GB2312"/>
          <w:u w:val="single"/>
        </w:rPr>
        <w:t>PB20200136</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rPr>
        <w:t>/</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40" w:firstLineChars="200"/>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体育设施包含室外跑道、足球场、看台及体育器械室，由取得地下停车场建设的单位负责建设，并无偿移交给相关部门。其他</w:t>
      </w:r>
      <w:r>
        <w:rPr>
          <w:rFonts w:ascii="仿宋_GB2312" w:hAnsi="仿宋" w:eastAsia="仿宋_GB2312"/>
          <w:sz w:val="32"/>
          <w:szCs w:val="32"/>
          <w:u w:val="single"/>
        </w:rPr>
        <w:t>详见</w:t>
      </w:r>
      <w:r>
        <w:rPr>
          <w:rFonts w:hint="eastAsia" w:ascii="仿宋_GB2312" w:hAnsi="仿宋" w:eastAsia="仿宋_GB2312"/>
          <w:sz w:val="32"/>
          <w:szCs w:val="32"/>
          <w:u w:val="single"/>
        </w:rPr>
        <w:t>《建设用地规划设计条件》PB20200136。</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二○二0年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A1DD1"/>
    <w:rsid w:val="3D4A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2021-01-25T08:49:00Z</dcterms:created>
  <dc:creator>黄春枚</dc:creator>
  <cp:lastModifiedBy>黄春枚</cp:lastModifiedBy>
  <dcterms:modified xsi:type="dcterms:W3CDTF">2021-01-25T08:50:34Z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