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052</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52</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（二）地块位置：惠州市惠城区马安中心区JD37-12-02、JD37-10地块；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（三）用地编号：JD37-12-02、JD37-10；</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（四）平面界址点以宗地图为准，宗地竖向界限以《建设用地规划设计条件》（PB20210074号）规定为准；</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（五）宗地使用权面积为：JD37-12-02为45661.59平方米、JD37-10为2838.83平方米；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（六）计算指标用地面积为：JD37-12-02为52637平方米、JD37-10为4617平方米；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（七）计容积率建筑面积：JD37-12-02为84219.2-263185平方米（其中配套设施建筑面积≥250）、JD37-10为7388-11542平方米；</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（八）容积率为：JD37-12-02为1.6-5.0 、JD37-10为1.6-2.5；</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（九）土地用途为：一类工业用地；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（十一）产业类型：专用设备制造业用地；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 动工及竣工时间：该地块动工时间为地块交付之日起一年内，竣工时间为土地交付之日起三年内（因不可抗拒因素除外）；</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（十三）本地块交付时间为《国有土地使用权出让合同》签订之日。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四、土地开发及使用规定</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（一）</w:t>
      </w:r>
      <w:r>
        <w:rPr>
          <w:rFonts w:hint="eastAsia" w:ascii="仿宋_GB2312" w:hAnsi="仿宋_GB2312" w:eastAsia="仿宋_GB2312" w:cs="仿宋_GB2312"/>
          <w:sz w:val="32"/>
          <w:szCs w:val="32"/>
          <w:highlight w:val="none"/>
          <w:shd w:val="clear" w:color="auto" w:fill="auto"/>
          <w:lang w:eastAsia="zh-CN"/>
        </w:rPr>
        <w:t>开发投资总额不少于人民币</w:t>
      </w:r>
      <w:r>
        <w:rPr>
          <w:rFonts w:hint="eastAsia" w:ascii="仿宋_GB2312" w:hAnsi="仿宋_GB2312" w:eastAsia="仿宋_GB2312" w:cs="仿宋_GB2312"/>
          <w:sz w:val="32"/>
          <w:szCs w:val="32"/>
        </w:rPr>
        <w:t>88500</w:t>
      </w:r>
      <w:r>
        <w:rPr>
          <w:rFonts w:hint="eastAsia" w:ascii="仿宋_GB2312" w:hAnsi="仿宋_GB2312" w:eastAsia="仿宋_GB2312" w:cs="仿宋_GB2312"/>
          <w:sz w:val="32"/>
          <w:szCs w:val="32"/>
          <w:highlight w:val="none"/>
          <w:shd w:val="clear" w:color="auto" w:fill="auto"/>
          <w:lang w:val="en-US" w:eastAsia="zh-CN"/>
        </w:rPr>
        <w:t>万元</w:t>
      </w:r>
      <w:r>
        <w:rPr>
          <w:rFonts w:hint="eastAsia" w:ascii="仿宋_GB2312" w:hAnsi="仿宋_GB2312" w:eastAsia="仿宋_GB2312" w:cs="仿宋_GB2312"/>
          <w:sz w:val="32"/>
          <w:szCs w:val="32"/>
          <w:highlight w:val="none"/>
          <w:shd w:val="clear" w:color="auto" w:fill="auto"/>
          <w:lang w:eastAsia="zh-CN"/>
        </w:rPr>
        <w:t>（含地价）。</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eastAsia="zh-CN"/>
        </w:rPr>
        <w:t>土地成交价款须以人民币支付,竞得人在签订《出让合同》之日起30日内付清全部成交价款。</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（三）竞得人在用地红线内开发建设必须符合城市规划要求，必须按《建设用地规划设计条件》（案卷编号：PB20210074）的规划控制指标要求及有关规定进行规划设计。</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（四）项目规划建设方案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所报总平面图的主要技术经济指标：规划布局2栋厂房、2栋宿舍、1栋机械停车库，JD37-12-02地块主要经济技术指标为：计算指标用地面积52637平方米，建筑层数地下1层，地上最高26层（建筑高度最高99.60米），计容积率总建筑面积262658.63平方米（其中生活服务设施建筑面积占比19.9%），建筑密度56.42%（其中生活服务设施基底面积占用地面积比4.4%），容积率4.99，绿地率15.01%，机动车停车位1181个（地面249个，地下932个），非机动车停车位1540个；JD37-10地块主要经济技术指标为：建筑层数地上最高10层，计算指标用地面积4617平方米，计容积率总建筑面积11496.33平方米,建筑密度37.70%，容积率2.49，绿地率15.16%，机动车停车位地上35个，非机动车停车位68个。应建设防空地下室面积2909.64平方米，申请建设防空地下室面积2910平方米。所报方案主要技术指标符合《建设用地规划设计条件》（PB20210074号)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（五）招商条件</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投资强度不低于15454元/平方米，土地产出率（工业产值）不低于24000元/平方米/年，税收产出不低于1273元/平方米/年。其中，土地产出率及税收产出，在项目投产后3年内逐年考核，3年内的平均值不得低于上述标准。</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马安镇人民政府提交项目投资计划书和时间安排表，并按月向惠州市惠城区马安镇人民政府书面报告项目进展情况，直至项目投产。</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bCs/>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）竞得人在签订《成交确认书》前,须与惠州市惠城区马安镇人民政府签订《项目实施监管协议书》，并由惠州市惠城区马安镇人民政府对项目用地实施批后监管</w:t>
      </w:r>
      <w:r>
        <w:rPr>
          <w:rFonts w:hint="eastAsia" w:ascii="仿宋_GB2312" w:hAnsi="仿宋_GB2312" w:eastAsia="仿宋_GB2312" w:cs="仿宋_GB2312"/>
          <w:color w:val="auto"/>
          <w:sz w:val="32"/>
          <w:szCs w:val="32"/>
          <w:lang w:eastAsia="zh-CN"/>
        </w:rPr>
        <w:t>。</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中华人民共和国境内外的法人和其他组织（除法律法规另有规定外）均可申请参加竞买。申请人可以单独申请，也可以联合申请。申请人还应具备下列条件：</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w:t>
      </w:r>
      <w:r>
        <w:rPr>
          <w:rFonts w:hint="eastAsia" w:eastAsia="仿宋_GB2312" w:cs="Times New Roman"/>
          <w:sz w:val="32"/>
          <w:szCs w:val="32"/>
          <w:highlight w:val="none"/>
          <w:shd w:val="clear" w:color="auto" w:fill="auto"/>
          <w:lang w:val="en-US" w:eastAsia="zh-CN"/>
        </w:rPr>
        <w:t>一</w:t>
      </w:r>
      <w:r>
        <w:rPr>
          <w:rFonts w:hint="eastAsia" w:eastAsia="仿宋_GB2312" w:cs="Times New Roman"/>
          <w:sz w:val="32"/>
          <w:szCs w:val="32"/>
          <w:highlight w:val="none"/>
          <w:shd w:val="clear" w:color="auto" w:fill="auto"/>
          <w:lang w:eastAsia="zh-CN"/>
        </w:rPr>
        <w:t>）按时足额交纳竞买保证金，竞买人缴交的竞买保证金为人民</w:t>
      </w:r>
      <w:r>
        <w:rPr>
          <w:rFonts w:hint="eastAsia" w:ascii="仿宋_GB2312" w:hAnsi="仿宋_GB2312" w:eastAsia="仿宋_GB2312" w:cs="仿宋_GB2312"/>
          <w:sz w:val="32"/>
          <w:szCs w:val="32"/>
          <w:highlight w:val="none"/>
          <w:shd w:val="clear" w:color="auto" w:fill="auto"/>
          <w:lang w:eastAsia="zh-CN"/>
        </w:rPr>
        <w:t>币2199万</w:t>
      </w:r>
      <w:r>
        <w:rPr>
          <w:rFonts w:hint="eastAsia" w:eastAsia="仿宋_GB2312" w:cs="Times New Roman"/>
          <w:sz w:val="32"/>
          <w:szCs w:val="32"/>
          <w:highlight w:val="none"/>
          <w:shd w:val="clear" w:color="auto" w:fill="auto"/>
          <w:lang w:eastAsia="zh-CN"/>
        </w:rPr>
        <w:t>元。</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val="en-US" w:eastAsia="zh-CN"/>
        </w:rPr>
        <w:t>（二）竞买人须提交惠城区发改局出具的与该宗地块产业类型一致的优先发展产业项目文件。</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w:t>
      </w:r>
      <w:r>
        <w:rPr>
          <w:rFonts w:hint="eastAsia" w:eastAsia="仿宋_GB2312" w:cs="Times New Roman"/>
          <w:sz w:val="32"/>
          <w:szCs w:val="32"/>
          <w:highlight w:val="none"/>
          <w:shd w:val="clear" w:color="auto" w:fill="auto"/>
          <w:lang w:val="en-US" w:eastAsia="zh-CN"/>
        </w:rPr>
        <w:t>三</w:t>
      </w:r>
      <w:r>
        <w:rPr>
          <w:rFonts w:hint="eastAsia" w:eastAsia="仿宋_GB2312" w:cs="Times New Roman"/>
          <w:sz w:val="32"/>
          <w:szCs w:val="32"/>
          <w:highlight w:val="none"/>
          <w:shd w:val="clear" w:color="auto" w:fill="auto"/>
          <w:lang w:eastAsia="zh-CN"/>
        </w:rPr>
        <w:t>）预先办理数字证书。本次国有建设用地使用权网上挂牌出让只能在互联网上，通过惠州市公共资源交易中心土地与矿业网上挂牌交易系统</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lang w:eastAsia="zh-CN"/>
        </w:rPr>
        <w:t>，以下简称“网上挂牌交易系统”）</w:t>
      </w:r>
      <w:r>
        <w:rPr>
          <w:rFonts w:hint="eastAsia" w:eastAsia="仿宋_GB2312" w:cs="Times New Roman"/>
          <w:sz w:val="32"/>
          <w:szCs w:val="32"/>
          <w:highlight w:val="none"/>
          <w:shd w:val="clear" w:color="auto" w:fill="auto"/>
          <w:lang w:eastAsia="zh-CN"/>
        </w:rPr>
        <w:t>进行。只有通过网上注册、办理数字证书、按要求足额交付竞买保证金的申请人，才能参加网上挂牌交易活动。</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w:t>
      </w:r>
      <w:r>
        <w:rPr>
          <w:rFonts w:hint="eastAsia" w:eastAsia="仿宋_GB2312" w:cs="Times New Roman"/>
          <w:sz w:val="32"/>
          <w:szCs w:val="32"/>
          <w:highlight w:val="none"/>
          <w:shd w:val="clear" w:color="auto" w:fill="auto"/>
          <w:lang w:val="en-US" w:eastAsia="zh-CN"/>
        </w:rPr>
        <w:t>四</w:t>
      </w:r>
      <w:r>
        <w:rPr>
          <w:rFonts w:hint="eastAsia" w:eastAsia="仿宋_GB2312" w:cs="Times New Roman"/>
          <w:sz w:val="32"/>
          <w:szCs w:val="32"/>
          <w:highlight w:val="none"/>
          <w:shd w:val="clear" w:color="auto" w:fill="auto"/>
          <w:lang w:eastAsia="zh-CN"/>
        </w:rPr>
        <w:t>）存在下列违法违规违约行为之一的企业及其控股股东，不得参与竞买上述地块：</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1、存在伪造公文骗取用地和非法倒卖土地等犯罪行为的；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2、存在非法转让土地使用权等违法行为的；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3、因企业原因造成土地闲置一年以上且至报名日止未处罚完结的；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4、开发建设企业有违背出让合同约定条件开发利用土地情形且至报名日止未处罚完结的；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5、至报名日止仍拖欠政府地价款的。</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eastAsia="zh-CN"/>
        </w:rPr>
        <w:t>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lang w:eastAsia="zh-CN"/>
        </w:rPr>
        <w:t>并由有关部门依法处理;造成损失的，竞得人还应依法承担赔偿责任：</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（一）不符合竞买资格条件的。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（二）采取行贿、恶意串通等非法手段竞得的。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（三）竞得人以其他非法手段竞得的。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（四）竞得人逾期或拒绝签订《成交确认书》的。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（五）竞得人逾期或拒绝签订《出让合同》的。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（六）不按本须知规定提供有关纸质文件材料，或提供虚假文件材料、隐瞒重要事实，引起交易纠纷的。</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柒仟叁佰叁拾万元整</w:t>
      </w:r>
      <w:r>
        <w:rPr>
          <w:rFonts w:hint="eastAsia" w:ascii="仿宋_GB2312" w:hAnsi="仿宋_GB2312" w:eastAsia="仿宋_GB2312" w:cs="仿宋_GB2312"/>
          <w:color w:val="auto"/>
          <w:sz w:val="32"/>
          <w:szCs w:val="32"/>
          <w:highlight w:val="none"/>
          <w:u w:val="none"/>
          <w:shd w:val="clear" w:color="auto" w:fill="auto"/>
          <w:lang w:val="en-US" w:eastAsia="zh-CN"/>
        </w:rPr>
        <w:t>（大写）（￥</w:t>
      </w:r>
      <w:r>
        <w:rPr>
          <w:rFonts w:hint="eastAsia" w:ascii="仿宋_GB2312" w:hAnsi="仿宋_GB2312" w:eastAsia="仿宋_GB2312" w:cs="仿宋_GB2312"/>
          <w:color w:val="auto"/>
          <w:sz w:val="32"/>
          <w:szCs w:val="32"/>
          <w:highlight w:val="none"/>
          <w:u w:val="single"/>
          <w:shd w:val="clear" w:color="auto" w:fill="auto"/>
          <w:lang w:val="en-US" w:eastAsia="zh-CN"/>
        </w:rPr>
        <w:t>7330</w:t>
      </w:r>
      <w:r>
        <w:rPr>
          <w:rFonts w:hint="eastAsia" w:ascii="仿宋_GB2312" w:hAnsi="仿宋_GB2312" w:eastAsia="仿宋_GB2312" w:cs="仿宋_GB2312"/>
          <w:color w:val="auto"/>
          <w:sz w:val="32"/>
          <w:szCs w:val="32"/>
          <w:highlight w:val="none"/>
          <w:u w:val="none"/>
          <w:shd w:val="clear" w:color="auto" w:fill="auto"/>
        </w:rPr>
        <w:t>万元</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伍拾万元整</w:t>
      </w:r>
      <w:r>
        <w:rPr>
          <w:rFonts w:hint="eastAsia" w:ascii="仿宋_GB2312" w:hAnsi="仿宋_GB2312" w:eastAsia="仿宋_GB2312" w:cs="仿宋_GB2312"/>
          <w:color w:val="auto"/>
          <w:sz w:val="32"/>
          <w:szCs w:val="32"/>
          <w:highlight w:val="none"/>
          <w:u w:val="none"/>
          <w:shd w:val="clear" w:color="auto" w:fill="auto"/>
          <w:lang w:val="en-US" w:eastAsia="zh-CN"/>
        </w:rPr>
        <w:t>（</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12</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30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14</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w:t>
      </w:r>
      <w:r>
        <w:rPr>
          <w:rFonts w:hint="eastAsia" w:ascii="仿宋_GB2312" w:hAnsi="仿宋_GB2312" w:eastAsia="仿宋_GB2312" w:cs="仿宋_GB2312"/>
          <w:sz w:val="32"/>
          <w:szCs w:val="32"/>
        </w:rPr>
        <w:t>网上挂牌交纳保证金截止时间</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14</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5、《建设用地规划设计条件》（案卷编号：</w:t>
      </w:r>
      <w:r>
        <w:rPr>
          <w:rFonts w:hint="eastAsia" w:ascii="仿宋_GB2312" w:hAnsi="仿宋_GB2312" w:eastAsia="仿宋_GB2312" w:cs="仿宋_GB2312"/>
          <w:sz w:val="32"/>
          <w:szCs w:val="32"/>
        </w:rPr>
        <w:t>PB20210074</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14</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贰仟壹佰玖拾玖万元整</w:t>
      </w:r>
      <w:r>
        <w:rPr>
          <w:rFonts w:hint="eastAsia" w:ascii="仿宋_GB2312" w:hAnsi="仿宋_GB2312" w:eastAsia="仿宋_GB2312" w:cs="仿宋_GB2312"/>
          <w:sz w:val="32"/>
          <w:szCs w:val="32"/>
          <w:highlight w:val="none"/>
          <w:u w:val="none"/>
          <w:shd w:val="clear" w:color="auto" w:fill="auto"/>
          <w:lang w:val="en-US" w:eastAsia="zh-CN"/>
        </w:rPr>
        <w:t>（￥</w:t>
      </w:r>
      <w:r>
        <w:rPr>
          <w:rFonts w:hint="eastAsia" w:ascii="仿宋_GB2312" w:hAnsi="仿宋_GB2312" w:eastAsia="仿宋_GB2312" w:cs="仿宋_GB2312"/>
          <w:sz w:val="32"/>
          <w:szCs w:val="32"/>
          <w:highlight w:val="none"/>
          <w:u w:val="single"/>
          <w:shd w:val="clear" w:color="auto" w:fill="auto"/>
          <w:lang w:val="en-US" w:eastAsia="zh-CN"/>
        </w:rPr>
        <w:t>2199</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）提交惠城区发改局出具的与该宗地块产业类型一致的优先发展产业项目文件</w:t>
      </w:r>
      <w:r>
        <w:rPr>
          <w:rFonts w:hint="eastAsia" w:ascii="仿宋_GB2312" w:hAnsi="宋体" w:eastAsia="仿宋_GB2312" w:cs="宋体"/>
          <w:color w:val="auto"/>
          <w:kern w:val="0"/>
          <w:sz w:val="32"/>
          <w:szCs w:val="32"/>
          <w:highlight w:val="none"/>
          <w:shd w:val="clear" w:color="auto" w:fill="auto"/>
        </w:rPr>
        <w:t>。</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3、经审查，符合</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b w:val="0"/>
          <w:bCs w:val="0"/>
          <w:sz w:val="32"/>
          <w:szCs w:val="32"/>
          <w:highlight w:val="none"/>
          <w:shd w:val="clear" w:color="auto" w:fill="auto"/>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shd w:val="clear"/>
        <w:tabs>
          <w:tab w:val="left" w:pos="3388"/>
        </w:tabs>
        <w:spacing w:line="560" w:lineRule="exact"/>
        <w:ind w:firstLine="640"/>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r>
        <w:rPr>
          <w:rFonts w:hint="eastAsia" w:ascii="仿宋_GB2312" w:hAnsi="仿宋_GB2312" w:eastAsia="仿宋_GB2312" w:cs="仿宋_GB2312"/>
          <w:kern w:val="2"/>
          <w:sz w:val="32"/>
          <w:szCs w:val="32"/>
          <w:highlight w:val="none"/>
          <w:shd w:val="clear" w:color="auto" w:fill="auto"/>
          <w:lang w:val="en-US" w:eastAsia="zh-CN" w:bidi="ar-SA"/>
        </w:rPr>
        <w:t>。</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2"/>
          <w:sz w:val="32"/>
          <w:szCs w:val="32"/>
          <w:highlight w:val="none"/>
          <w:shd w:val="clear" w:color="auto" w:fill="auto"/>
          <w:lang w:val="en-US" w:eastAsia="zh-CN" w:bidi="ar-SA"/>
        </w:rPr>
        <w:t xml:space="preserve">   （五）确定竞得人后，竞得</w:t>
      </w:r>
      <w:r>
        <w:rPr>
          <w:rFonts w:hint="eastAsia" w:ascii="仿宋_GB2312" w:hAnsi="仿宋_GB2312" w:eastAsia="仿宋_GB2312" w:cs="仿宋_GB2312"/>
          <w:sz w:val="32"/>
          <w:szCs w:val="32"/>
          <w:highlight w:val="none"/>
          <w:shd w:val="clear" w:color="auto" w:fill="auto"/>
        </w:rPr>
        <w:t>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numPr>
          <w:ilvl w:val="0"/>
          <w:numId w:val="1"/>
        </w:num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numPr>
          <w:ilvl w:val="0"/>
          <w:numId w:val="0"/>
        </w:num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w:t>
      </w:r>
      <w:bookmarkStart w:id="8" w:name="_GoBack"/>
      <w:bookmarkEnd w:id="8"/>
      <w:r>
        <w:rPr>
          <w:rFonts w:hint="eastAsia" w:ascii="仿宋_GB2312" w:hAnsi="仿宋_GB2312" w:eastAsia="仿宋_GB2312" w:cs="仿宋_GB2312"/>
          <w:sz w:val="32"/>
          <w:szCs w:val="32"/>
          <w:highlight w:val="none"/>
          <w:shd w:val="clear" w:color="auto" w:fill="auto"/>
        </w:rPr>
        <w:t>未尽事宜依照《招标拍卖挂牌出让国有土地使用权规范》办理。</w:t>
      </w:r>
    </w:p>
    <w:p>
      <w:pPr>
        <w:pStyle w:val="2"/>
        <w:shd w:val="clear"/>
        <w:rPr>
          <w:highlight w:val="none"/>
          <w:shd w:val="clear" w:color="auto" w:fill="auto"/>
        </w:rPr>
      </w:pPr>
    </w:p>
    <w:p>
      <w:pPr>
        <w:pStyle w:val="2"/>
        <w:shd w:val="clear"/>
        <w:rPr>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2021年12月9日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214A8"/>
    <w:multiLevelType w:val="singleLevel"/>
    <w:tmpl w:val="944214A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0708B1"/>
    <w:rsid w:val="01115C7C"/>
    <w:rsid w:val="01B51C7D"/>
    <w:rsid w:val="031A11BD"/>
    <w:rsid w:val="042C6BAB"/>
    <w:rsid w:val="04BB2A35"/>
    <w:rsid w:val="04F7599A"/>
    <w:rsid w:val="05280DC9"/>
    <w:rsid w:val="054F511E"/>
    <w:rsid w:val="05616BEE"/>
    <w:rsid w:val="05AA6043"/>
    <w:rsid w:val="065D58C0"/>
    <w:rsid w:val="06E22DF8"/>
    <w:rsid w:val="071F73B3"/>
    <w:rsid w:val="07722333"/>
    <w:rsid w:val="077D5D24"/>
    <w:rsid w:val="07F629A0"/>
    <w:rsid w:val="08273751"/>
    <w:rsid w:val="091E26EA"/>
    <w:rsid w:val="09317644"/>
    <w:rsid w:val="095A2161"/>
    <w:rsid w:val="09DF4A83"/>
    <w:rsid w:val="09E224E2"/>
    <w:rsid w:val="0A812477"/>
    <w:rsid w:val="0ACC066B"/>
    <w:rsid w:val="0B1406EF"/>
    <w:rsid w:val="0C40433F"/>
    <w:rsid w:val="0C8642BF"/>
    <w:rsid w:val="0C9B2169"/>
    <w:rsid w:val="0CAC4A7F"/>
    <w:rsid w:val="0DCB3B54"/>
    <w:rsid w:val="0FB217AF"/>
    <w:rsid w:val="0FB2799E"/>
    <w:rsid w:val="10152918"/>
    <w:rsid w:val="105A2768"/>
    <w:rsid w:val="10A1573B"/>
    <w:rsid w:val="10B43BC1"/>
    <w:rsid w:val="111E117E"/>
    <w:rsid w:val="11A17A14"/>
    <w:rsid w:val="12295A9F"/>
    <w:rsid w:val="12B261FC"/>
    <w:rsid w:val="141106B3"/>
    <w:rsid w:val="144551AC"/>
    <w:rsid w:val="14924D3E"/>
    <w:rsid w:val="15BB632B"/>
    <w:rsid w:val="15C4392F"/>
    <w:rsid w:val="15D340EA"/>
    <w:rsid w:val="16615977"/>
    <w:rsid w:val="168C318D"/>
    <w:rsid w:val="16AE6DA7"/>
    <w:rsid w:val="170F4C1C"/>
    <w:rsid w:val="18220C10"/>
    <w:rsid w:val="1960257D"/>
    <w:rsid w:val="19D941D6"/>
    <w:rsid w:val="19F36C6A"/>
    <w:rsid w:val="1C431BA6"/>
    <w:rsid w:val="1CB6407B"/>
    <w:rsid w:val="1DE56E00"/>
    <w:rsid w:val="1E4A3E3B"/>
    <w:rsid w:val="1E9B31A0"/>
    <w:rsid w:val="1ED73189"/>
    <w:rsid w:val="1F1E4268"/>
    <w:rsid w:val="20855E22"/>
    <w:rsid w:val="21587C67"/>
    <w:rsid w:val="22463965"/>
    <w:rsid w:val="2249566B"/>
    <w:rsid w:val="22661D8C"/>
    <w:rsid w:val="22DC01FC"/>
    <w:rsid w:val="23141DA3"/>
    <w:rsid w:val="233A2E67"/>
    <w:rsid w:val="247C6354"/>
    <w:rsid w:val="256A5D13"/>
    <w:rsid w:val="259D34B7"/>
    <w:rsid w:val="25D63F7C"/>
    <w:rsid w:val="26391FD0"/>
    <w:rsid w:val="26741665"/>
    <w:rsid w:val="270B4267"/>
    <w:rsid w:val="272C05B0"/>
    <w:rsid w:val="282C1E6E"/>
    <w:rsid w:val="28D2352A"/>
    <w:rsid w:val="28ED736B"/>
    <w:rsid w:val="29220F8B"/>
    <w:rsid w:val="29DE5841"/>
    <w:rsid w:val="2A636D11"/>
    <w:rsid w:val="2AA45603"/>
    <w:rsid w:val="2AE43BE2"/>
    <w:rsid w:val="2B1A2077"/>
    <w:rsid w:val="2CA246FC"/>
    <w:rsid w:val="2CD752D7"/>
    <w:rsid w:val="2D027EED"/>
    <w:rsid w:val="2D2632FD"/>
    <w:rsid w:val="2DEB4267"/>
    <w:rsid w:val="2E9B6EAE"/>
    <w:rsid w:val="2F0337D6"/>
    <w:rsid w:val="2F944F64"/>
    <w:rsid w:val="2FA2409E"/>
    <w:rsid w:val="302645FE"/>
    <w:rsid w:val="30884005"/>
    <w:rsid w:val="30AC5587"/>
    <w:rsid w:val="30DB33EE"/>
    <w:rsid w:val="313D23E2"/>
    <w:rsid w:val="31880862"/>
    <w:rsid w:val="31B60A9D"/>
    <w:rsid w:val="324E22EE"/>
    <w:rsid w:val="33A33367"/>
    <w:rsid w:val="33CE0AAA"/>
    <w:rsid w:val="34B40523"/>
    <w:rsid w:val="34C41D04"/>
    <w:rsid w:val="34CD617E"/>
    <w:rsid w:val="360B04FE"/>
    <w:rsid w:val="362358A8"/>
    <w:rsid w:val="378C6660"/>
    <w:rsid w:val="37FB7A76"/>
    <w:rsid w:val="38104880"/>
    <w:rsid w:val="38DE5E51"/>
    <w:rsid w:val="390E539D"/>
    <w:rsid w:val="3A0C3092"/>
    <w:rsid w:val="3A6628A9"/>
    <w:rsid w:val="3C4A4143"/>
    <w:rsid w:val="3C5E598F"/>
    <w:rsid w:val="3C8F0E4F"/>
    <w:rsid w:val="3CAD2EC5"/>
    <w:rsid w:val="3CB0200F"/>
    <w:rsid w:val="3CB81CC8"/>
    <w:rsid w:val="3D322E34"/>
    <w:rsid w:val="3D34683B"/>
    <w:rsid w:val="3D5C0945"/>
    <w:rsid w:val="3D5E1016"/>
    <w:rsid w:val="3DAA2FBD"/>
    <w:rsid w:val="3DAA58C4"/>
    <w:rsid w:val="3E6E707C"/>
    <w:rsid w:val="3FB91BA4"/>
    <w:rsid w:val="3FC22752"/>
    <w:rsid w:val="418879B1"/>
    <w:rsid w:val="421630A4"/>
    <w:rsid w:val="432B1A76"/>
    <w:rsid w:val="43A10401"/>
    <w:rsid w:val="43DC126D"/>
    <w:rsid w:val="43E840B4"/>
    <w:rsid w:val="43EC1655"/>
    <w:rsid w:val="440C4340"/>
    <w:rsid w:val="44273CD5"/>
    <w:rsid w:val="4442558E"/>
    <w:rsid w:val="44811DC9"/>
    <w:rsid w:val="450E3C66"/>
    <w:rsid w:val="454309A1"/>
    <w:rsid w:val="458C06A8"/>
    <w:rsid w:val="45C47203"/>
    <w:rsid w:val="45E829E7"/>
    <w:rsid w:val="465E4F22"/>
    <w:rsid w:val="467262F8"/>
    <w:rsid w:val="46DA05EA"/>
    <w:rsid w:val="46F579AB"/>
    <w:rsid w:val="48566E44"/>
    <w:rsid w:val="48593E6F"/>
    <w:rsid w:val="48B510E7"/>
    <w:rsid w:val="493B6F1B"/>
    <w:rsid w:val="4AFF2E69"/>
    <w:rsid w:val="4BA610FC"/>
    <w:rsid w:val="4BEE1CA4"/>
    <w:rsid w:val="4CF51C39"/>
    <w:rsid w:val="4D1F6077"/>
    <w:rsid w:val="4ED2701A"/>
    <w:rsid w:val="4EEB2184"/>
    <w:rsid w:val="4F1E4BBE"/>
    <w:rsid w:val="4F3537ED"/>
    <w:rsid w:val="4F954D5E"/>
    <w:rsid w:val="4FFE1B2F"/>
    <w:rsid w:val="50E13A94"/>
    <w:rsid w:val="51467837"/>
    <w:rsid w:val="52132F5D"/>
    <w:rsid w:val="528F1625"/>
    <w:rsid w:val="52AA5DFE"/>
    <w:rsid w:val="530D63A2"/>
    <w:rsid w:val="533F6C66"/>
    <w:rsid w:val="544F17E9"/>
    <w:rsid w:val="545B45A9"/>
    <w:rsid w:val="546D5003"/>
    <w:rsid w:val="54943EAC"/>
    <w:rsid w:val="54C11818"/>
    <w:rsid w:val="553102CC"/>
    <w:rsid w:val="58AC5C79"/>
    <w:rsid w:val="58B217DC"/>
    <w:rsid w:val="58FE24B1"/>
    <w:rsid w:val="59693A9B"/>
    <w:rsid w:val="5A154FE3"/>
    <w:rsid w:val="5AEE4F52"/>
    <w:rsid w:val="5B0C2732"/>
    <w:rsid w:val="5B1D2CCC"/>
    <w:rsid w:val="5B52670E"/>
    <w:rsid w:val="5B625B54"/>
    <w:rsid w:val="5B640509"/>
    <w:rsid w:val="5B8E3054"/>
    <w:rsid w:val="5C625425"/>
    <w:rsid w:val="5C943765"/>
    <w:rsid w:val="5D006096"/>
    <w:rsid w:val="5D731ABE"/>
    <w:rsid w:val="5DB15592"/>
    <w:rsid w:val="5DF81F1B"/>
    <w:rsid w:val="5DFB50B1"/>
    <w:rsid w:val="5E2E0948"/>
    <w:rsid w:val="600D408B"/>
    <w:rsid w:val="610A5EBF"/>
    <w:rsid w:val="61245A3C"/>
    <w:rsid w:val="6178185B"/>
    <w:rsid w:val="617F00E3"/>
    <w:rsid w:val="61C04C47"/>
    <w:rsid w:val="61C170AA"/>
    <w:rsid w:val="624D400D"/>
    <w:rsid w:val="626D5569"/>
    <w:rsid w:val="62D03E81"/>
    <w:rsid w:val="62D41879"/>
    <w:rsid w:val="6398078D"/>
    <w:rsid w:val="641A28B3"/>
    <w:rsid w:val="648A18F5"/>
    <w:rsid w:val="64C30585"/>
    <w:rsid w:val="64EC219C"/>
    <w:rsid w:val="651C53A6"/>
    <w:rsid w:val="656B5E9D"/>
    <w:rsid w:val="659D6FA9"/>
    <w:rsid w:val="65F2007E"/>
    <w:rsid w:val="665853F0"/>
    <w:rsid w:val="66C13377"/>
    <w:rsid w:val="67927D39"/>
    <w:rsid w:val="68085778"/>
    <w:rsid w:val="687C7230"/>
    <w:rsid w:val="688B43B5"/>
    <w:rsid w:val="68EE1292"/>
    <w:rsid w:val="69B07B1E"/>
    <w:rsid w:val="69E22ED5"/>
    <w:rsid w:val="6A15326A"/>
    <w:rsid w:val="6AA821A5"/>
    <w:rsid w:val="6B8A6BF3"/>
    <w:rsid w:val="6BF43BD7"/>
    <w:rsid w:val="6BFA1460"/>
    <w:rsid w:val="6C013F77"/>
    <w:rsid w:val="6C181FB4"/>
    <w:rsid w:val="6C197CDD"/>
    <w:rsid w:val="6C5A6DDE"/>
    <w:rsid w:val="6C611252"/>
    <w:rsid w:val="6CCC1A8E"/>
    <w:rsid w:val="6E1E50A4"/>
    <w:rsid w:val="6E94457B"/>
    <w:rsid w:val="6F050334"/>
    <w:rsid w:val="6FC96844"/>
    <w:rsid w:val="6FCE2720"/>
    <w:rsid w:val="705B684C"/>
    <w:rsid w:val="709D1797"/>
    <w:rsid w:val="714F5518"/>
    <w:rsid w:val="71A607AA"/>
    <w:rsid w:val="71AB46C8"/>
    <w:rsid w:val="73767BD1"/>
    <w:rsid w:val="74CC0B4E"/>
    <w:rsid w:val="74D35F13"/>
    <w:rsid w:val="755C76C8"/>
    <w:rsid w:val="75E43E25"/>
    <w:rsid w:val="76382CBE"/>
    <w:rsid w:val="76B47A3E"/>
    <w:rsid w:val="77156B70"/>
    <w:rsid w:val="77A91566"/>
    <w:rsid w:val="77E167B8"/>
    <w:rsid w:val="78591F3E"/>
    <w:rsid w:val="78CA1EAE"/>
    <w:rsid w:val="792409A3"/>
    <w:rsid w:val="7A0A6068"/>
    <w:rsid w:val="7A881483"/>
    <w:rsid w:val="7AE44F5D"/>
    <w:rsid w:val="7B3065F7"/>
    <w:rsid w:val="7B405936"/>
    <w:rsid w:val="7B4F2E9A"/>
    <w:rsid w:val="7B8363CD"/>
    <w:rsid w:val="7C8A682E"/>
    <w:rsid w:val="7D5207DE"/>
    <w:rsid w:val="7E29024A"/>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杨惠丹</cp:lastModifiedBy>
  <cp:lastPrinted>2021-12-09T06:54:00Z</cp:lastPrinted>
  <dcterms:modified xsi:type="dcterms:W3CDTF">2021-12-09T09:05:44Z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