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hAnsi="华文中宋" w:eastAsia="方正小标宋_GBK"/>
          <w:b/>
          <w:bCs/>
          <w:spacing w:val="3"/>
          <w:sz w:val="44"/>
          <w:szCs w:val="44"/>
        </w:rPr>
      </w:pPr>
    </w:p>
    <w:p>
      <w:pPr>
        <w:tabs>
          <w:tab w:val="left" w:pos="11340"/>
        </w:tabs>
        <w:spacing w:line="520" w:lineRule="exact"/>
        <w:rPr>
          <w:rFonts w:hint="eastAsia" w:ascii="方正小标宋_GBK" w:eastAsia="方正小标宋_GBK"/>
          <w:b/>
          <w:bCs/>
          <w:spacing w:val="3"/>
          <w:sz w:val="48"/>
        </w:rPr>
      </w:pPr>
      <w:r>
        <w:rPr>
          <w:rFonts w:hint="eastAsia" w:ascii="方正小标宋_GBK" w:hAnsi="华文中宋" w:eastAsia="方正小标宋_GBK"/>
          <w:b/>
          <w:bCs/>
          <w:spacing w:val="3"/>
          <w:sz w:val="44"/>
          <w:szCs w:val="44"/>
        </w:rPr>
        <w:t>惠州市国有建设用地使用权网上挂牌</w:t>
      </w:r>
      <w:r>
        <w:rPr>
          <w:rFonts w:hint="eastAsia" w:ascii="方正小标宋_GBK" w:hAnsi="华文中宋" w:eastAsia="方正小标宋_GBK"/>
          <w:b/>
          <w:bCs/>
          <w:sz w:val="44"/>
          <w:szCs w:val="44"/>
        </w:rPr>
        <w:t>出让公告</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惠公易土市直[20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052</w:t>
      </w:r>
      <w:r>
        <w:rPr>
          <w:rFonts w:hint="eastAsia" w:ascii="仿宋_GB2312" w:eastAsia="仿宋_GB2312"/>
          <w:sz w:val="32"/>
          <w:szCs w:val="32"/>
        </w:rPr>
        <w:t>号</w:t>
      </w:r>
    </w:p>
    <w:p>
      <w:pPr>
        <w:spacing w:line="520" w:lineRule="exact"/>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土资源部令第39号《招标拍卖挂牌出让国有建设用地使用权规定》和广东省人民政府令第79号《广东省土地使用权交易市场管理规定》的规定，经惠城区人民政府批准，惠州市惠城区自然资源局决定以网上挂牌方式出让下列国有建设用地使用权，本次国有建设用地使用权网上挂牌出让交易具体事务委托惠州市公共资源交易中心办理。现将有关事项公告如下：</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一、网上挂牌出让地块基本情况及规划指标要求（见附表）</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二、网上挂牌竞买时间为20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时。</w:t>
      </w:r>
    </w:p>
    <w:p>
      <w:pPr>
        <w:keepNext w:val="0"/>
        <w:keepLines w:val="0"/>
        <w:pageBreakBefore w:val="0"/>
        <w:widowControl w:val="0"/>
        <w:kinsoku/>
        <w:wordWrap/>
        <w:overflowPunct/>
        <w:topLinePunct w:val="0"/>
        <w:autoSpaceDE/>
        <w:autoSpaceDN/>
        <w:bidi w:val="0"/>
        <w:spacing w:line="560" w:lineRule="exact"/>
        <w:ind w:firstLine="720" w:firstLineChars="22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三、上述地块挂牌出让起始价为人民币7330万元,每次报价加价幅度为人民币50万元的整数倍。</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四、中华人民共和国境内外的法人和其他组织（除法律法规另有规定外）均可申请参加竞买。申请人可以单独申请，也可以联合申请：</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hint="eastAsia" w:hAnsi="仿宋_GB2312" w:cs="仿宋_GB2312"/>
          <w:szCs w:val="32"/>
        </w:rPr>
      </w:pPr>
      <w:r>
        <w:rPr>
          <w:rFonts w:hint="eastAsia" w:ascii="仿宋_GB2312" w:hAnsi="仿宋_GB2312" w:eastAsia="仿宋_GB2312" w:cs="仿宋_GB2312"/>
          <w:sz w:val="32"/>
          <w:szCs w:val="32"/>
        </w:rPr>
        <w:t>（二）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r>
        <w:rPr>
          <w:rFonts w:hint="eastAsia" w:hAnsi="仿宋_GB2312" w:cs="仿宋_GB2312"/>
          <w:szCs w:val="32"/>
        </w:rPr>
        <w:t>。</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Ansi="仿宋_GB2312" w:cs="仿宋_GB2312"/>
          <w:szCs w:val="32"/>
          <w:highlight w:val="none"/>
        </w:rPr>
      </w:pPr>
      <w:r>
        <w:rPr>
          <w:rFonts w:hint="eastAsia" w:hAnsi="仿宋_GB2312" w:cs="仿宋_GB2312"/>
          <w:szCs w:val="32"/>
          <w:highlight w:val="none"/>
          <w:lang w:val="en-US" w:eastAsia="zh-CN"/>
        </w:rPr>
        <w:t>五</w:t>
      </w:r>
      <w:r>
        <w:rPr>
          <w:rFonts w:hint="eastAsia" w:hAnsi="仿宋_GB2312" w:cs="仿宋_GB2312"/>
          <w:szCs w:val="32"/>
          <w:highlight w:val="none"/>
        </w:rPr>
        <w:t>、申请人应具备的其他条件：</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highlight w:val="none"/>
        </w:rPr>
      </w:pPr>
      <w:r>
        <w:rPr>
          <w:rFonts w:hint="eastAsia" w:hAnsi="仿宋_GB2312" w:cs="仿宋_GB2312"/>
          <w:szCs w:val="32"/>
          <w:highlight w:val="none"/>
        </w:rPr>
        <w:t>（一）缴交竞买保证金2199万元人民币。</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eastAsia="仿宋_GB2312" w:cs="仿宋_GB2312"/>
          <w:szCs w:val="32"/>
          <w:lang w:eastAsia="zh-CN"/>
        </w:rPr>
      </w:pPr>
      <w:r>
        <w:rPr>
          <w:rFonts w:hint="eastAsia" w:hAnsi="仿宋_GB2312" w:cs="仿宋_GB2312"/>
          <w:szCs w:val="32"/>
          <w:highlight w:val="none"/>
        </w:rPr>
        <w:t>（二）竞买人须提交惠城区发改局出具的与该宗地块产业类型一致的优先发展产业项目文件</w:t>
      </w:r>
      <w:r>
        <w:rPr>
          <w:rFonts w:hint="eastAsia" w:hAnsi="仿宋_GB2312" w:cs="仿宋_GB2312"/>
          <w:sz w:val="32"/>
          <w:szCs w:val="32"/>
          <w:lang w:eastAsia="zh-CN"/>
        </w:rPr>
        <w:t>。</w:t>
      </w:r>
    </w:p>
    <w:p>
      <w:pPr>
        <w:pStyle w:val="3"/>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）存在下列违法违规违约行为之一的企业及其控股股东，不得参与竞买上述地块：</w:t>
      </w:r>
    </w:p>
    <w:p>
      <w:pPr>
        <w:pStyle w:val="3"/>
        <w:keepNext w:val="0"/>
        <w:keepLines w:val="0"/>
        <w:pageBreakBefore w:val="0"/>
        <w:widowControl w:val="0"/>
        <w:kinsoku/>
        <w:wordWrap/>
        <w:overflowPunct/>
        <w:topLinePunct w:val="0"/>
        <w:autoSpaceDE/>
        <w:autoSpaceDN/>
        <w:bidi w:val="0"/>
        <w:spacing w:before="0" w:line="560" w:lineRule="exact"/>
        <w:ind w:left="0" w:leftChars="0" w:firstLine="640" w:firstLineChars="200"/>
        <w:jc w:val="both"/>
        <w:textAlignment w:val="auto"/>
        <w:rPr>
          <w:rFonts w:hint="eastAsia" w:hAnsi="仿宋_GB2312" w:cs="仿宋_GB2312"/>
          <w:szCs w:val="32"/>
          <w:lang w:val="en-US" w:eastAsia="zh-CN"/>
        </w:rPr>
      </w:pPr>
      <w:r>
        <w:rPr>
          <w:rFonts w:hint="eastAsia" w:hAnsi="仿宋_GB2312" w:cs="仿宋_GB2312"/>
          <w:szCs w:val="32"/>
          <w:lang w:val="en-US" w:eastAsia="zh-CN"/>
        </w:rPr>
        <w:t>1、存在伪造公文骗取用地和非法倒卖土地等犯罪行为的；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2、存在非法转让土地使用权等违法行为的；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3、因企业原因造成土地闲置一年以上且至报名日止未处罚完结的；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4、开发建设企业有违背出让合同约定条件开发利用土地情形且至报名日止未处罚完结的；</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lang w:val="en-US" w:eastAsia="zh-CN"/>
        </w:rPr>
      </w:pPr>
      <w:r>
        <w:rPr>
          <w:rFonts w:hint="eastAsia" w:hAnsi="仿宋_GB2312" w:cs="仿宋_GB2312"/>
          <w:szCs w:val="32"/>
          <w:lang w:val="en-US" w:eastAsia="zh-CN"/>
        </w:rPr>
        <w:t> 5、至报名日止仍拖欠政府地价款的。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、本次国有建设用地使用权网上挂牌出让为无底价挂牌出让，按照价高者得的原则确定竞得人。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、本次网上挂牌出让的详细资料和具体要求，见惠州市公共资源交易中心土地与矿业网上挂牌交易系统（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）。申请人可在网上挂牌交易系统下载挂牌出让公告、须知及相关交易文件，并按上述文件规定的操作程序在网上参加竞买。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、有意竞买者可以自行到地块现场踏勘（可在网上挂牌交易系统查阅位置图和现状图）。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、申请人应当在网上挂牌出让结束前</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惠州市公共资源交易中心土地与矿业网上挂牌交易系统并在系统上向惠州市公共资源交易中心提交竞买申请并支付保证金。网上挂牌保证金到账截止时间为20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时止。网上挂牌报价时间截止时，经系统询问，有竞买人表示愿意继续竞价的，系统自动进入网上限时竞价程序，通过竞价确定竞得人。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次国有建设用地使用权网上挂牌出让只接受网上竞买申请，即通过惠州市公共资源交易中心土地与矿业网上挂牌交易系统进行，不接受电话、邮寄、书面、电子邮件及口头竞买。凡办理数字证书、按要求足额交纳竞买保证金的申请人，方可参加网上挂牌交易活动。</w:t>
      </w:r>
    </w:p>
    <w:p>
      <w:pPr>
        <w:keepNext w:val="0"/>
        <w:keepLines w:val="0"/>
        <w:pageBreakBefore w:val="0"/>
        <w:widowControl w:val="0"/>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、网上挂牌系统确定成交后，竞得人缴纳的竞买保证金按</w:t>
      </w:r>
      <w:r>
        <w:rPr>
          <w:rFonts w:hint="eastAsia" w:ascii="仿宋_GB2312" w:hAnsi="仿宋_GB2312" w:eastAsia="仿宋_GB2312" w:cs="仿宋_GB2312"/>
          <w:sz w:val="32"/>
          <w:szCs w:val="32"/>
          <w:lang w:val="en-US" w:eastAsia="zh-CN"/>
        </w:rPr>
        <w:t>成交价的20%转作</w:t>
      </w:r>
      <w:r>
        <w:rPr>
          <w:rFonts w:hint="eastAsia" w:ascii="仿宋_GB2312" w:hAnsi="仿宋_GB2312" w:eastAsia="仿宋_GB2312" w:cs="仿宋_GB2312"/>
          <w:sz w:val="32"/>
          <w:szCs w:val="32"/>
        </w:rPr>
        <w:t>定金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竞买保证金</w:t>
      </w:r>
      <w:r>
        <w:rPr>
          <w:rFonts w:hint="eastAsia" w:ascii="仿宋_GB2312" w:hAnsi="仿宋_GB2312" w:eastAsia="仿宋_GB2312" w:cs="仿宋_GB2312"/>
          <w:sz w:val="32"/>
          <w:szCs w:val="32"/>
          <w:lang w:val="en-US" w:eastAsia="zh-CN"/>
        </w:rPr>
        <w:t>不足以缴纳定金，</w:t>
      </w:r>
      <w:r>
        <w:rPr>
          <w:rFonts w:hint="eastAsia" w:ascii="仿宋_GB2312" w:hAnsi="仿宋_GB2312" w:eastAsia="仿宋_GB2312" w:cs="仿宋_GB2312"/>
          <w:sz w:val="32"/>
          <w:szCs w:val="32"/>
        </w:rPr>
        <w:t>不足部分在交易系统确定成交之日起5个工作日内补齐</w:t>
      </w:r>
      <w:r>
        <w:rPr>
          <w:rFonts w:hint="eastAsia" w:ascii="仿宋_GB2312" w:hAnsi="仿宋_GB2312" w:eastAsia="仿宋_GB2312" w:cs="仿宋_GB2312"/>
          <w:sz w:val="32"/>
          <w:szCs w:val="32"/>
          <w:lang w:eastAsia="zh-CN"/>
        </w:rPr>
        <w:t>；如竞买保证金转作定金</w:t>
      </w:r>
      <w:r>
        <w:rPr>
          <w:rFonts w:hint="eastAsia" w:ascii="仿宋_GB2312" w:hAnsi="仿宋_GB2312" w:eastAsia="仿宋_GB2312" w:cs="仿宋_GB2312"/>
          <w:sz w:val="32"/>
          <w:szCs w:val="32"/>
          <w:lang w:val="en-US" w:eastAsia="zh-CN"/>
        </w:rPr>
        <w:t>后有剩余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余额抵作</w:t>
      </w:r>
      <w:r>
        <w:rPr>
          <w:rFonts w:hint="eastAsia" w:ascii="仿宋_GB2312" w:hAnsi="仿宋_GB2312" w:eastAsia="仿宋_GB2312" w:cs="仿宋_GB2312"/>
          <w:sz w:val="32"/>
          <w:szCs w:val="32"/>
          <w:lang w:val="en-US" w:eastAsia="zh-CN"/>
        </w:rPr>
        <w:t>土地</w:t>
      </w:r>
      <w:r>
        <w:rPr>
          <w:rFonts w:hint="eastAsia" w:ascii="仿宋_GB2312" w:hAnsi="仿宋_GB2312" w:eastAsia="仿宋_GB2312" w:cs="仿宋_GB2312"/>
          <w:sz w:val="32"/>
          <w:szCs w:val="32"/>
        </w:rPr>
        <w:t>成交价</w:t>
      </w:r>
      <w:r>
        <w:rPr>
          <w:rFonts w:hint="eastAsia" w:ascii="仿宋_GB2312" w:hAnsi="仿宋_GB2312" w:eastAsia="仿宋_GB2312" w:cs="仿宋_GB2312"/>
          <w:sz w:val="32"/>
          <w:szCs w:val="32"/>
          <w:lang w:val="en-US" w:eastAsia="zh-CN"/>
        </w:rPr>
        <w:t>的预付</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竞得人签订《出让合同》后，定金可抵作土地成交价款，余额转作成交价款。</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、其它需要公告的事项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bookmarkStart w:id="0" w:name="_GoBack"/>
      <w:bookmarkEnd w:id="0"/>
      <w:r>
        <w:rPr>
          <w:rFonts w:hint="eastAsia" w:ascii="仿宋_GB2312" w:hAnsi="仿宋_GB2312" w:eastAsia="仿宋_GB2312" w:cs="仿宋_GB2312"/>
          <w:sz w:val="32"/>
          <w:szCs w:val="32"/>
        </w:rPr>
        <w:t>）开发投资总额不少于88500万元（含地价）。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（二）竞得人在用地红线内开发建设必须符合城市规划要求，必须按《建设用地规划设计条件》（案卷编号：PB20210074）的规划控制指标要求及有关规定进行规划设计。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（三）土地成交价款须以人民币支付,竞得人在签订《出让合同》之日起30日内付清全部成交价款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项目规划建设方案</w:t>
      </w:r>
    </w:p>
    <w:p>
      <w:pPr>
        <w:pageBreakBefore w:val="0"/>
        <w:widowControl/>
        <w:kinsoku/>
        <w:wordWrap/>
        <w:overflowPunct/>
        <w:topLinePunct w:val="0"/>
        <w:autoSpaceDE/>
        <w:autoSpaceDN/>
        <w:bidi w:val="0"/>
        <w:adjustRightInd/>
        <w:snapToGrid/>
        <w:spacing w:line="520" w:lineRule="exact"/>
        <w:ind w:firstLine="641"/>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所报总平面图的主要技术经济指标：规划布局2栋厂房、2栋宿舍、1栋机械停车库，JD37-12-02地块主要经济技术指标为：计算指标用地面积52637平方米，建筑层数地下1层，地上最高26层（建筑高度最高99.60米），计容积率总建筑面积262658.63平方米（其中生活服务设施建筑面积占比19.9%），建筑密度56.42%（其中生活服务设施基底面积占用地面积比4.4%），容积率4.99，绿地率15.01%，机动车停车位1181个（地面249个，地下932个），非机动车停车位1540个；JD37-10地块主要经济技术指标为：建筑层数地上最高10层，计算指标用地面积4617平方米，计容积率总建筑面积11496.33平方米,建筑密度37.70%，容积率2.49，绿地率15.16%，机动车停车位地上35个，非机动车停车位68个。应建设防空地下室面积2909.64平方米，申请建设防空地下室面积2910平方米。所报方案主要技术指标符合《建设用地规划设计条件》（PB20210074号)相关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（五）招商条件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投资强度不低于15454元/平方米，土地产出率（工业产值）不低于24000元/平方米/年，税收产出不低于1273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宋体" w:eastAsia="仿宋_GB2312" w:cs="宋体"/>
          <w:kern w:val="0"/>
          <w:sz w:val="32"/>
          <w:szCs w:val="32"/>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马安镇人民政府提交项目投资计划书和时间安排表，并按月向惠州市惠城区马安镇人民政府书面报告项目进展情况，直至项目投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）竞得人在签订《成交确认书》前,须与惠州市惠城区马安镇人民政府签订《项目实施监管协议书》，并由惠州市惠城区马安镇人民政府对项目用地实施批后监管。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）竞得人有下列行为之一的，视为违约，取消竞得人资格，</w:t>
      </w:r>
      <w:r>
        <w:rPr>
          <w:rFonts w:hint="eastAsia" w:ascii="仿宋_GB2312" w:hAnsi="仿宋_GB2312" w:eastAsia="仿宋_GB2312" w:cs="仿宋_GB2312"/>
          <w:color w:val="auto"/>
          <w:sz w:val="32"/>
          <w:szCs w:val="32"/>
          <w:lang w:val="en-US" w:eastAsia="zh-CN"/>
        </w:rPr>
        <w:t>定金不予退还</w:t>
      </w:r>
      <w:r>
        <w:rPr>
          <w:rFonts w:hint="eastAsia" w:ascii="仿宋_GB2312" w:hAnsi="仿宋_GB2312" w:eastAsia="仿宋_GB2312" w:cs="仿宋_GB2312"/>
          <w:color w:val="auto"/>
          <w:sz w:val="32"/>
          <w:szCs w:val="32"/>
        </w:rPr>
        <w:t>,并由有关部门依法处理;造成损失的，竞得人还应依法承担赔偿责任：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1、不符合竞买资格条件的；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2、采取行贿、恶意串通等非法手段竞得的；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3、竞得人以其他非法手段竞得的；</w:t>
      </w:r>
    </w:p>
    <w:p>
      <w:pPr>
        <w:keepNext w:val="0"/>
        <w:keepLines w:val="0"/>
        <w:pageBreakBefore w:val="0"/>
        <w:widowControl w:val="0"/>
        <w:tabs>
          <w:tab w:val="right" w:pos="8386"/>
        </w:tabs>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4、竞得人逾期或拒绝签订《成交确认书》的；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5、竞得人逾期或拒绝签订《出让合同》的；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6、不按本须知规定提供有关纸质文件材料，或提供虚假文件材料、隐瞒重要事实，引起交易纠纷的；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7、构成违约责任的其他行为。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）挂牌出让价款不含应由竞得人缴纳的契税、印花税等有关费用。</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（一）惠州市</w:t>
      </w:r>
      <w:r>
        <w:rPr>
          <w:rFonts w:hint="eastAsia" w:ascii="仿宋_GB2312" w:hAnsi="仿宋_GB2312" w:eastAsia="仿宋_GB2312" w:cs="仿宋_GB2312"/>
          <w:color w:val="auto"/>
          <w:sz w:val="32"/>
          <w:szCs w:val="32"/>
          <w:lang w:val="en-US" w:eastAsia="zh-CN"/>
        </w:rPr>
        <w:t>惠城区</w:t>
      </w:r>
      <w:r>
        <w:rPr>
          <w:rFonts w:hint="eastAsia" w:ascii="仿宋_GB2312" w:hAnsi="仿宋_GB2312" w:eastAsia="仿宋_GB2312" w:cs="仿宋_GB2312"/>
          <w:color w:val="auto"/>
          <w:sz w:val="32"/>
          <w:szCs w:val="32"/>
        </w:rPr>
        <w:t>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地址：惠州市</w:t>
      </w:r>
      <w:r>
        <w:rPr>
          <w:rFonts w:hint="eastAsia" w:ascii="仿宋_GB2312" w:hAnsi="仿宋_GB2312" w:eastAsia="仿宋_GB2312" w:cs="仿宋_GB2312"/>
          <w:color w:val="auto"/>
          <w:sz w:val="32"/>
          <w:szCs w:val="32"/>
          <w:lang w:val="en-US" w:eastAsia="zh-CN"/>
        </w:rPr>
        <w:t>下埔路16号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陈</w:t>
      </w:r>
      <w:r>
        <w:rPr>
          <w:rFonts w:hint="eastAsia" w:ascii="仿宋_GB2312" w:hAnsi="仿宋_GB2312" w:eastAsia="仿宋_GB2312" w:cs="仿宋_GB2312"/>
          <w:sz w:val="32"/>
          <w:szCs w:val="32"/>
          <w:lang w:val="en-US" w:eastAsia="zh-CN"/>
        </w:rPr>
        <w:t>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2117378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惠州市公共资源交易中心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联系地址：广东省惠州市</w:t>
      </w:r>
      <w:r>
        <w:rPr>
          <w:rFonts w:hint="eastAsia" w:ascii="仿宋_GB2312" w:hAnsi="仿宋_GB2312" w:eastAsia="仿宋_GB2312" w:cs="仿宋_GB2312"/>
          <w:sz w:val="32"/>
          <w:szCs w:val="32"/>
          <w:lang w:val="en-US" w:eastAsia="zh-CN"/>
        </w:rPr>
        <w:t>惠城区三新北路31号市民服务中心3号楼</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联系人：袁</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杨工</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联系电话：（0752）</w:t>
      </w:r>
      <w:r>
        <w:rPr>
          <w:rFonts w:hint="eastAsia" w:ascii="仿宋_GB2312" w:hAnsi="仿宋_GB2312" w:eastAsia="仿宋_GB2312" w:cs="仿宋_GB2312"/>
          <w:sz w:val="32"/>
          <w:szCs w:val="32"/>
          <w:lang w:val="en-US" w:eastAsia="zh-CN"/>
        </w:rPr>
        <w:t>7121026、7121036</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注：本公告同时在下列网站及场所发布</w:t>
      </w:r>
    </w:p>
    <w:p>
      <w:pPr>
        <w:keepNext w:val="0"/>
        <w:keepLines w:val="0"/>
        <w:pageBreakBefore w:val="0"/>
        <w:widowControl w:val="0"/>
        <w:kinsoku/>
        <w:wordWrap/>
        <w:overflowPunct/>
        <w:topLinePunct w:val="0"/>
        <w:autoSpaceDE/>
        <w:autoSpaceDN/>
        <w:bidi w:val="0"/>
        <w:spacing w:line="560" w:lineRule="exact"/>
        <w:ind w:left="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中国土地市场网: http://www.landchina.com</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惠州市自然资源局网站：http://land.huizhou.gov.cn</w:t>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"http://zyjy.huizhou.gov.cn"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http://zyjy.huizhou.gov.cn</w:t>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5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惠州市公共资源交易中心交易大厅现场。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宋体" w:hAnsi="宋体" w:cs="宋体"/>
          <w:color w:val="696969"/>
          <w:sz w:val="32"/>
          <w:szCs w:val="32"/>
        </w:rPr>
      </w:pPr>
      <w:r>
        <w:rPr>
          <w:rFonts w:hint="eastAsia" w:ascii="仿宋_GB2312" w:hAnsi="仿宋_GB2312" w:eastAsia="仿宋_GB2312" w:cs="仿宋_GB2312"/>
          <w:sz w:val="32"/>
          <w:szCs w:val="32"/>
        </w:rPr>
        <w:t>数字证书办理地址：广东省惠州市惠城区三新北路31号市民服务中心3号楼惠州市公共资源交易中心一楼大厅1号土地与矿业交易窗口</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联系人：罗工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联系电话：0752-7121029</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right="640" w:firstLine="5033" w:firstLineChars="1573"/>
        <w:textAlignment w:val="auto"/>
        <w:rPr>
          <w:rFonts w:hint="eastAsia" w:ascii="仿宋_GB2312" w:hAnsi="仿宋_GB2312" w:eastAsia="仿宋_GB2312" w:cs="仿宋_GB2312"/>
          <w:sz w:val="32"/>
          <w:szCs w:val="32"/>
        </w:rPr>
      </w:pP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eastAsia="zh-CN"/>
        </w:rPr>
        <w:t>惠城区</w:t>
      </w:r>
      <w:r>
        <w:rPr>
          <w:rFonts w:hint="eastAsia" w:ascii="仿宋_GB2312" w:hAnsi="仿宋_GB2312" w:eastAsia="仿宋_GB2312" w:cs="仿宋_GB2312"/>
          <w:sz w:val="32"/>
          <w:szCs w:val="32"/>
        </w:rPr>
        <w:t>自然资源局</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惠州市公共资源交易中心</w:t>
      </w:r>
    </w:p>
    <w:p>
      <w:pPr>
        <w:spacing w:line="360" w:lineRule="auto"/>
        <w:ind w:firstLine="5120" w:firstLineChars="1600"/>
        <w:jc w:val="both"/>
        <w:rPr>
          <w:rFonts w:hint="default" w:ascii="仿宋_GB2312" w:hAnsi="仿宋_GB2312" w:eastAsia="仿宋_GB2312" w:cs="仿宋_GB2312"/>
          <w:sz w:val="32"/>
          <w:szCs w:val="32"/>
          <w:lang w:val="en-US" w:eastAsia="zh-CN"/>
        </w:rPr>
        <w:sectPr>
          <w:headerReference r:id="rId3" w:type="default"/>
          <w:footerReference r:id="rId4" w:type="default"/>
          <w:footerReference r:id="rId5" w:type="even"/>
          <w:pgSz w:w="11906" w:h="16838"/>
          <w:pgMar w:top="1440" w:right="1440" w:bottom="1440" w:left="1440" w:header="851" w:footer="992" w:gutter="0"/>
          <w:pgNumType w:fmt="numberInDash"/>
          <w:cols w:space="720" w:num="1"/>
          <w:docGrid w:type="lines" w:linePitch="312" w:charSpace="0"/>
        </w:sectPr>
      </w:pPr>
      <w:r>
        <w:rPr>
          <w:rFonts w:hint="eastAsia" w:ascii="仿宋_GB2312" w:hAnsi="仿宋_GB2312" w:eastAsia="仿宋_GB2312" w:cs="仿宋_GB2312"/>
          <w:sz w:val="32"/>
          <w:szCs w:val="32"/>
          <w:lang w:val="en-US" w:eastAsia="zh-CN"/>
        </w:rPr>
        <w:t>2021年12月9日</w:t>
      </w:r>
    </w:p>
    <w:p>
      <w:pPr>
        <w:spacing w:line="360" w:lineRule="auto"/>
        <w:rPr>
          <w:rFonts w:hint="eastAsia" w:ascii="黑体" w:hAnsi="黑体" w:eastAsia="黑体"/>
          <w:sz w:val="32"/>
          <w:szCs w:val="32"/>
        </w:rPr>
      </w:pPr>
      <w:r>
        <w:rPr>
          <w:rFonts w:hint="eastAsia" w:ascii="黑体" w:hAnsi="黑体" w:eastAsia="黑体"/>
          <w:sz w:val="32"/>
          <w:szCs w:val="32"/>
        </w:rPr>
        <w:t>附表</w:t>
      </w:r>
    </w:p>
    <w:p>
      <w:pPr>
        <w:tabs>
          <w:tab w:val="left" w:pos="9720"/>
        </w:tabs>
        <w:spacing w:line="360" w:lineRule="auto"/>
        <w:jc w:val="center"/>
        <w:rPr>
          <w:rFonts w:hint="eastAsia" w:ascii="方正小标宋_GBK" w:eastAsia="方正小标宋_GBK"/>
          <w:b/>
          <w:sz w:val="36"/>
          <w:szCs w:val="36"/>
        </w:rPr>
      </w:pPr>
      <w:r>
        <w:rPr>
          <w:rFonts w:hint="eastAsia" w:ascii="方正小标宋_GBK" w:eastAsia="方正小标宋_GBK"/>
          <w:b/>
          <w:sz w:val="36"/>
          <w:szCs w:val="36"/>
        </w:rPr>
        <w:t>网上挂牌出让地块规划建设指标</w:t>
      </w:r>
    </w:p>
    <w:p>
      <w:pPr>
        <w:pStyle w:val="2"/>
        <w:rPr>
          <w:rFonts w:hint="eastAsia"/>
        </w:rPr>
      </w:pPr>
    </w:p>
    <w:tbl>
      <w:tblPr>
        <w:tblStyle w:val="8"/>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0"/>
        <w:gridCol w:w="615"/>
        <w:gridCol w:w="570"/>
        <w:gridCol w:w="774"/>
        <w:gridCol w:w="948"/>
        <w:gridCol w:w="720"/>
        <w:gridCol w:w="660"/>
        <w:gridCol w:w="1785"/>
        <w:gridCol w:w="1061"/>
        <w:gridCol w:w="969"/>
        <w:gridCol w:w="813"/>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05"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挂牌地块编号</w:t>
            </w:r>
          </w:p>
        </w:tc>
        <w:tc>
          <w:tcPr>
            <w:tcW w:w="690"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土地</w:t>
            </w:r>
          </w:p>
          <w:p>
            <w:pPr>
              <w:spacing w:line="320" w:lineRule="exact"/>
              <w:jc w:val="center"/>
              <w:rPr>
                <w:rFonts w:hint="eastAsia" w:ascii="仿宋_GB2312" w:eastAsia="仿宋_GB2312"/>
                <w:b/>
                <w:bCs/>
                <w:szCs w:val="21"/>
              </w:rPr>
            </w:pPr>
            <w:r>
              <w:rPr>
                <w:rFonts w:hint="eastAsia" w:ascii="仿宋_GB2312" w:eastAsia="仿宋_GB2312"/>
                <w:b/>
                <w:bCs/>
                <w:szCs w:val="21"/>
              </w:rPr>
              <w:t>位置</w:t>
            </w:r>
          </w:p>
        </w:tc>
        <w:tc>
          <w:tcPr>
            <w:tcW w:w="615"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lang w:val="en-US" w:eastAsia="zh-CN"/>
              </w:rPr>
              <w:t>用地</w:t>
            </w:r>
            <w:r>
              <w:rPr>
                <w:rFonts w:hint="eastAsia" w:ascii="仿宋_GB2312" w:eastAsia="仿宋_GB2312"/>
                <w:b/>
                <w:bCs/>
                <w:szCs w:val="21"/>
              </w:rPr>
              <w:t>编号</w:t>
            </w:r>
          </w:p>
        </w:tc>
        <w:tc>
          <w:tcPr>
            <w:tcW w:w="570" w:type="dxa"/>
            <w:vMerge w:val="restart"/>
            <w:vAlign w:val="center"/>
          </w:tcPr>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土地</w:t>
            </w:r>
          </w:p>
          <w:p>
            <w:pPr>
              <w:adjustRightInd w:val="0"/>
              <w:snapToGrid w:val="0"/>
              <w:spacing w:line="320" w:lineRule="exact"/>
              <w:jc w:val="center"/>
              <w:rPr>
                <w:rFonts w:hint="eastAsia" w:ascii="仿宋_GB2312" w:eastAsia="仿宋_GB2312"/>
                <w:b/>
                <w:bCs/>
                <w:szCs w:val="21"/>
              </w:rPr>
            </w:pPr>
            <w:r>
              <w:rPr>
                <w:rFonts w:hint="eastAsia" w:ascii="仿宋_GB2312" w:eastAsia="仿宋_GB2312"/>
                <w:b/>
                <w:bCs/>
                <w:szCs w:val="21"/>
              </w:rPr>
              <w:t>用途</w:t>
            </w:r>
          </w:p>
        </w:tc>
        <w:tc>
          <w:tcPr>
            <w:tcW w:w="774" w:type="dxa"/>
            <w:vMerge w:val="restart"/>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宗地使用权面积（</w:t>
            </w:r>
            <w:r>
              <w:rPr>
                <w:rFonts w:hint="eastAsia" w:ascii="宋体" w:hAnsi="宋体" w:cs="宋体"/>
                <w:b/>
                <w:bCs/>
                <w:szCs w:val="21"/>
              </w:rPr>
              <w:t>㎡</w:t>
            </w:r>
            <w:r>
              <w:rPr>
                <w:rFonts w:hint="eastAsia" w:ascii="仿宋_GB2312" w:eastAsia="仿宋_GB2312"/>
                <w:b/>
                <w:bCs/>
                <w:szCs w:val="21"/>
              </w:rPr>
              <w:t>）</w:t>
            </w:r>
          </w:p>
        </w:tc>
        <w:tc>
          <w:tcPr>
            <w:tcW w:w="6956" w:type="dxa"/>
            <w:gridSpan w:val="7"/>
            <w:vAlign w:val="center"/>
          </w:tcPr>
          <w:p>
            <w:pPr>
              <w:adjustRightInd w:val="0"/>
              <w:snapToGrid w:val="0"/>
              <w:spacing w:line="320" w:lineRule="exact"/>
              <w:ind w:left="1" w:leftChars="-89" w:hanging="188" w:hangingChars="89"/>
              <w:jc w:val="center"/>
              <w:rPr>
                <w:rFonts w:hint="eastAsia" w:ascii="仿宋_GB2312" w:eastAsia="仿宋_GB2312"/>
                <w:b/>
                <w:bCs/>
                <w:szCs w:val="21"/>
              </w:rPr>
            </w:pPr>
            <w:r>
              <w:rPr>
                <w:rFonts w:hint="eastAsia" w:ascii="仿宋_GB2312" w:eastAsia="仿宋_GB2312"/>
                <w:b/>
                <w:bCs/>
                <w:szCs w:val="21"/>
              </w:rPr>
              <w:t>规划指标要求</w:t>
            </w:r>
          </w:p>
        </w:tc>
        <w:tc>
          <w:tcPr>
            <w:tcW w:w="670" w:type="dxa"/>
            <w:vMerge w:val="restart"/>
            <w:vAlign w:val="center"/>
          </w:tcPr>
          <w:p>
            <w:pPr>
              <w:autoSpaceDE w:val="0"/>
              <w:autoSpaceDN w:val="0"/>
              <w:adjustRightInd w:val="0"/>
              <w:spacing w:line="240" w:lineRule="exact"/>
              <w:jc w:val="center"/>
              <w:rPr>
                <w:rFonts w:hint="eastAsia" w:ascii="仿宋_GB2312" w:eastAsia="仿宋_GB2312"/>
                <w:b/>
                <w:bCs/>
              </w:rPr>
            </w:pPr>
            <w:r>
              <w:rPr>
                <w:rFonts w:hint="eastAsia" w:ascii="仿宋_GB2312" w:eastAsia="仿宋_GB2312"/>
                <w:b/>
                <w:bCs/>
              </w:rPr>
              <w:t>出让年限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jc w:val="center"/>
        </w:trPr>
        <w:tc>
          <w:tcPr>
            <w:tcW w:w="705" w:type="dxa"/>
            <w:vMerge w:val="continue"/>
            <w:vAlign w:val="center"/>
          </w:tcPr>
          <w:p>
            <w:pPr>
              <w:adjustRightInd w:val="0"/>
              <w:snapToGrid w:val="0"/>
              <w:spacing w:line="320" w:lineRule="exact"/>
              <w:jc w:val="center"/>
              <w:rPr>
                <w:rFonts w:hint="eastAsia" w:ascii="仿宋_GB2312" w:eastAsia="仿宋_GB2312"/>
                <w:b/>
                <w:bCs/>
              </w:rPr>
            </w:pPr>
          </w:p>
        </w:tc>
        <w:tc>
          <w:tcPr>
            <w:tcW w:w="690" w:type="dxa"/>
            <w:vMerge w:val="continue"/>
            <w:vAlign w:val="center"/>
          </w:tcPr>
          <w:p>
            <w:pPr>
              <w:adjustRightInd w:val="0"/>
              <w:snapToGrid w:val="0"/>
              <w:spacing w:line="320" w:lineRule="exact"/>
              <w:jc w:val="center"/>
              <w:rPr>
                <w:rFonts w:hint="eastAsia" w:ascii="仿宋_GB2312" w:eastAsia="仿宋_GB2312"/>
                <w:b/>
                <w:bCs/>
              </w:rPr>
            </w:pPr>
          </w:p>
        </w:tc>
        <w:tc>
          <w:tcPr>
            <w:tcW w:w="615" w:type="dxa"/>
            <w:vMerge w:val="continue"/>
            <w:vAlign w:val="center"/>
          </w:tcPr>
          <w:p>
            <w:pPr>
              <w:adjustRightInd w:val="0"/>
              <w:snapToGrid w:val="0"/>
              <w:spacing w:line="320" w:lineRule="exact"/>
              <w:jc w:val="center"/>
              <w:rPr>
                <w:rFonts w:hint="eastAsia" w:ascii="仿宋_GB2312" w:eastAsia="仿宋_GB2312"/>
                <w:b/>
                <w:bCs/>
              </w:rPr>
            </w:pPr>
          </w:p>
        </w:tc>
        <w:tc>
          <w:tcPr>
            <w:tcW w:w="570" w:type="dxa"/>
            <w:vMerge w:val="continue"/>
            <w:vAlign w:val="center"/>
          </w:tcPr>
          <w:p>
            <w:pPr>
              <w:adjustRightInd w:val="0"/>
              <w:snapToGrid w:val="0"/>
              <w:spacing w:line="320" w:lineRule="exact"/>
              <w:jc w:val="center"/>
              <w:rPr>
                <w:rFonts w:hint="eastAsia" w:ascii="仿宋_GB2312" w:eastAsia="仿宋_GB2312"/>
                <w:b/>
                <w:bCs/>
              </w:rPr>
            </w:pPr>
          </w:p>
        </w:tc>
        <w:tc>
          <w:tcPr>
            <w:tcW w:w="774" w:type="dxa"/>
            <w:vMerge w:val="continue"/>
            <w:vAlign w:val="center"/>
          </w:tcPr>
          <w:p>
            <w:pPr>
              <w:adjustRightInd w:val="0"/>
              <w:snapToGrid w:val="0"/>
              <w:spacing w:line="320" w:lineRule="exact"/>
              <w:jc w:val="center"/>
              <w:rPr>
                <w:rFonts w:hint="eastAsia" w:ascii="仿宋_GB2312" w:eastAsia="仿宋_GB2312"/>
                <w:b/>
                <w:bCs/>
              </w:rPr>
            </w:pPr>
          </w:p>
        </w:tc>
        <w:tc>
          <w:tcPr>
            <w:tcW w:w="948" w:type="dxa"/>
            <w:vAlign w:val="center"/>
          </w:tcPr>
          <w:p>
            <w:pPr>
              <w:spacing w:line="320" w:lineRule="exact"/>
              <w:jc w:val="center"/>
              <w:rPr>
                <w:rFonts w:hint="eastAsia" w:ascii="仿宋_GB2312" w:eastAsia="仿宋_GB2312"/>
                <w:b/>
                <w:bCs/>
                <w:szCs w:val="21"/>
              </w:rPr>
            </w:pPr>
            <w:r>
              <w:rPr>
                <w:rFonts w:hint="eastAsia" w:ascii="仿宋_GB2312" w:eastAsia="仿宋_GB2312"/>
                <w:b/>
                <w:bCs/>
                <w:szCs w:val="21"/>
              </w:rPr>
              <w:t>计算指标用地面积（</w:t>
            </w:r>
            <w:r>
              <w:rPr>
                <w:rFonts w:hint="eastAsia" w:ascii="宋体" w:hAnsi="宋体" w:cs="宋体"/>
                <w:b/>
                <w:bCs/>
                <w:szCs w:val="21"/>
              </w:rPr>
              <w:t>㎡</w:t>
            </w:r>
            <w:r>
              <w:rPr>
                <w:rFonts w:hint="eastAsia" w:ascii="仿宋_GB2312" w:eastAsia="仿宋_GB2312"/>
                <w:b/>
                <w:bCs/>
                <w:szCs w:val="21"/>
              </w:rPr>
              <w:t>）</w:t>
            </w:r>
          </w:p>
        </w:tc>
        <w:tc>
          <w:tcPr>
            <w:tcW w:w="720" w:type="dxa"/>
            <w:vAlign w:val="center"/>
          </w:tcPr>
          <w:p>
            <w:pPr>
              <w:autoSpaceDE w:val="0"/>
              <w:autoSpaceDN w:val="0"/>
              <w:adjustRightInd w:val="0"/>
              <w:spacing w:line="240" w:lineRule="exact"/>
              <w:jc w:val="center"/>
              <w:rPr>
                <w:rFonts w:hint="eastAsia" w:eastAsia="仿宋_GB2312"/>
                <w:b/>
                <w:szCs w:val="21"/>
                <w:lang w:eastAsia="zh-CN"/>
              </w:rPr>
            </w:pPr>
            <w:r>
              <w:rPr>
                <w:rFonts w:hint="eastAsia" w:eastAsia="仿宋_GB2312"/>
                <w:b/>
                <w:szCs w:val="21"/>
              </w:rPr>
              <w:t>建筑</w:t>
            </w:r>
            <w:r>
              <w:rPr>
                <w:rFonts w:hint="eastAsia" w:eastAsia="仿宋_GB2312"/>
                <w:b/>
                <w:szCs w:val="21"/>
                <w:lang w:val="en-US" w:eastAsia="zh-CN"/>
              </w:rPr>
              <w:t>系数</w:t>
            </w:r>
          </w:p>
          <w:p>
            <w:pPr>
              <w:autoSpaceDE w:val="0"/>
              <w:autoSpaceDN w:val="0"/>
              <w:adjustRightInd w:val="0"/>
              <w:spacing w:line="240" w:lineRule="exact"/>
              <w:jc w:val="center"/>
              <w:rPr>
                <w:rFonts w:hint="eastAsia" w:ascii="仿宋_GB2312" w:eastAsia="仿宋_GB2312"/>
                <w:b/>
                <w:bCs/>
                <w:szCs w:val="21"/>
              </w:rPr>
            </w:pPr>
            <w:r>
              <w:rPr>
                <w:rFonts w:hint="eastAsia" w:ascii="宋体" w:hAnsi="宋体" w:cs="宋体"/>
                <w:b/>
                <w:szCs w:val="21"/>
              </w:rPr>
              <w:t>（％）</w:t>
            </w:r>
          </w:p>
        </w:tc>
        <w:tc>
          <w:tcPr>
            <w:tcW w:w="660" w:type="dxa"/>
            <w:vAlign w:val="center"/>
          </w:tcPr>
          <w:p>
            <w:pPr>
              <w:autoSpaceDE w:val="0"/>
              <w:autoSpaceDN w:val="0"/>
              <w:adjustRightInd w:val="0"/>
              <w:spacing w:line="240" w:lineRule="exact"/>
              <w:jc w:val="center"/>
              <w:rPr>
                <w:rFonts w:hint="eastAsia" w:ascii="仿宋_GB2312" w:eastAsia="仿宋_GB2312"/>
                <w:b/>
                <w:bCs/>
                <w:szCs w:val="21"/>
              </w:rPr>
            </w:pPr>
            <w:r>
              <w:rPr>
                <w:rFonts w:hint="eastAsia" w:ascii="仿宋_GB2312" w:eastAsia="仿宋_GB2312"/>
                <w:b/>
                <w:bCs/>
                <w:szCs w:val="21"/>
              </w:rPr>
              <w:t>容积率</w:t>
            </w:r>
          </w:p>
        </w:tc>
        <w:tc>
          <w:tcPr>
            <w:tcW w:w="1785" w:type="dxa"/>
            <w:vAlign w:val="center"/>
          </w:tcPr>
          <w:p>
            <w:pPr>
              <w:spacing w:line="320" w:lineRule="exact"/>
              <w:ind w:left="44" w:right="-53" w:rightChars="-25" w:hanging="44" w:hangingChars="21"/>
              <w:jc w:val="center"/>
              <w:rPr>
                <w:rFonts w:hint="eastAsia" w:ascii="仿宋_GB2312" w:eastAsia="仿宋_GB2312"/>
                <w:b/>
                <w:bCs/>
                <w:szCs w:val="21"/>
              </w:rPr>
            </w:pPr>
            <w:r>
              <w:rPr>
                <w:rFonts w:hint="eastAsia" w:ascii="仿宋_GB2312" w:eastAsia="仿宋_GB2312"/>
                <w:b/>
                <w:bCs/>
                <w:szCs w:val="21"/>
              </w:rPr>
              <w:t>计容积率建筑面积（</w:t>
            </w:r>
            <w:r>
              <w:rPr>
                <w:rFonts w:hint="eastAsia" w:ascii="宋体" w:hAnsi="宋体" w:cs="宋体"/>
                <w:b/>
                <w:bCs/>
                <w:szCs w:val="21"/>
              </w:rPr>
              <w:t>㎡</w:t>
            </w:r>
            <w:r>
              <w:rPr>
                <w:rFonts w:hint="eastAsia" w:ascii="仿宋_GB2312" w:eastAsia="仿宋_GB2312"/>
                <w:b/>
                <w:bCs/>
                <w:szCs w:val="21"/>
              </w:rPr>
              <w:t>）</w:t>
            </w:r>
          </w:p>
        </w:tc>
        <w:tc>
          <w:tcPr>
            <w:tcW w:w="1061" w:type="dxa"/>
            <w:vAlign w:val="center"/>
          </w:tcPr>
          <w:p>
            <w:pPr>
              <w:autoSpaceDE w:val="0"/>
              <w:autoSpaceDN w:val="0"/>
              <w:adjustRightInd w:val="0"/>
              <w:spacing w:line="240" w:lineRule="exact"/>
              <w:jc w:val="center"/>
              <w:rPr>
                <w:rFonts w:hint="eastAsia" w:ascii="仿宋_GB2312" w:eastAsia="仿宋_GB2312"/>
                <w:b/>
                <w:bCs/>
              </w:rPr>
            </w:pPr>
            <w:r>
              <w:rPr>
                <w:rFonts w:hint="eastAsia" w:eastAsia="仿宋_GB2312"/>
                <w:b/>
                <w:szCs w:val="21"/>
              </w:rPr>
              <w:t>机动车停车位配建标准</w:t>
            </w:r>
          </w:p>
        </w:tc>
        <w:tc>
          <w:tcPr>
            <w:tcW w:w="969" w:type="dxa"/>
            <w:vAlign w:val="center"/>
          </w:tcPr>
          <w:p>
            <w:pPr>
              <w:autoSpaceDE w:val="0"/>
              <w:autoSpaceDN w:val="0"/>
              <w:adjustRightInd w:val="0"/>
              <w:spacing w:line="240" w:lineRule="exact"/>
              <w:jc w:val="center"/>
              <w:rPr>
                <w:rFonts w:hint="eastAsia" w:eastAsia="仿宋_GB2312"/>
                <w:b/>
                <w:szCs w:val="21"/>
              </w:rPr>
            </w:pPr>
            <w:r>
              <w:rPr>
                <w:rFonts w:hint="eastAsia" w:eastAsia="仿宋_GB2312"/>
                <w:b/>
                <w:szCs w:val="21"/>
              </w:rPr>
              <w:t>绿地率</w:t>
            </w:r>
          </w:p>
          <w:p>
            <w:pPr>
              <w:autoSpaceDE w:val="0"/>
              <w:autoSpaceDN w:val="0"/>
              <w:adjustRightInd w:val="0"/>
              <w:spacing w:line="240" w:lineRule="exact"/>
              <w:jc w:val="center"/>
              <w:rPr>
                <w:rFonts w:hint="eastAsia" w:eastAsia="仿宋_GB2312"/>
                <w:b/>
                <w:szCs w:val="21"/>
              </w:rPr>
            </w:pPr>
            <w:r>
              <w:rPr>
                <w:rFonts w:hint="eastAsia" w:ascii="宋体" w:hAnsi="宋体" w:cs="宋体"/>
                <w:b/>
                <w:szCs w:val="21"/>
              </w:rPr>
              <w:t>（％）</w:t>
            </w:r>
          </w:p>
        </w:tc>
        <w:tc>
          <w:tcPr>
            <w:tcW w:w="813" w:type="dxa"/>
            <w:vAlign w:val="center"/>
          </w:tcPr>
          <w:p>
            <w:pPr>
              <w:autoSpaceDE w:val="0"/>
              <w:autoSpaceDN w:val="0"/>
              <w:adjustRightInd w:val="0"/>
              <w:spacing w:line="240" w:lineRule="exact"/>
              <w:jc w:val="center"/>
              <w:rPr>
                <w:rFonts w:hint="eastAsia" w:ascii="仿宋_GB2312" w:eastAsia="仿宋_GB2312"/>
                <w:b/>
                <w:bCs/>
                <w:szCs w:val="21"/>
                <w:lang w:eastAsia="zh-CN"/>
              </w:rPr>
            </w:pPr>
            <w:r>
              <w:rPr>
                <w:rFonts w:hint="eastAsia" w:ascii="仿宋_GB2312" w:eastAsia="仿宋_GB2312"/>
                <w:b/>
                <w:bCs/>
                <w:szCs w:val="21"/>
                <w:lang w:eastAsia="zh-CN"/>
              </w:rPr>
              <w:t>产业</w:t>
            </w:r>
          </w:p>
          <w:p>
            <w:pPr>
              <w:autoSpaceDE w:val="0"/>
              <w:autoSpaceDN w:val="0"/>
              <w:adjustRightInd w:val="0"/>
              <w:spacing w:line="240" w:lineRule="exact"/>
              <w:jc w:val="center"/>
              <w:rPr>
                <w:rFonts w:hint="eastAsia" w:ascii="仿宋_GB2312" w:eastAsia="仿宋_GB2312"/>
                <w:b/>
                <w:bCs/>
                <w:lang w:eastAsia="zh-CN"/>
              </w:rPr>
            </w:pPr>
            <w:r>
              <w:rPr>
                <w:rFonts w:hint="eastAsia" w:ascii="仿宋_GB2312" w:eastAsia="仿宋_GB2312"/>
                <w:b/>
                <w:bCs/>
                <w:szCs w:val="21"/>
                <w:lang w:eastAsia="zh-CN"/>
              </w:rPr>
              <w:t>类型</w:t>
            </w:r>
          </w:p>
        </w:tc>
        <w:tc>
          <w:tcPr>
            <w:tcW w:w="670" w:type="dxa"/>
            <w:vMerge w:val="continue"/>
            <w:vAlign w:val="center"/>
          </w:tcPr>
          <w:p>
            <w:pPr>
              <w:autoSpaceDE w:val="0"/>
              <w:autoSpaceDN w:val="0"/>
              <w:adjustRightInd w:val="0"/>
              <w:spacing w:line="240" w:lineRule="exact"/>
              <w:jc w:val="center"/>
              <w:rPr>
                <w:rFonts w:hint="eastAsia" w:ascii="仿宋_GB2312"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restart"/>
            <w:tcMar>
              <w:left w:w="0" w:type="dxa"/>
              <w:right w:w="0" w:type="dxa"/>
            </w:tcMar>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GP2021-52</w:t>
            </w:r>
          </w:p>
        </w:tc>
        <w:tc>
          <w:tcPr>
            <w:tcW w:w="69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惠州市惠城区马安中心区JD37-12-02地块</w:t>
            </w:r>
          </w:p>
        </w:tc>
        <w:tc>
          <w:tcPr>
            <w:tcW w:w="615"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JD37-12-02</w:t>
            </w:r>
          </w:p>
        </w:tc>
        <w:tc>
          <w:tcPr>
            <w:tcW w:w="570" w:type="dxa"/>
            <w:tcMar>
              <w:left w:w="0" w:type="dxa"/>
              <w:right w:w="0" w:type="dxa"/>
            </w:tcMar>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45661.59</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52637</w:t>
            </w:r>
          </w:p>
        </w:tc>
        <w:tc>
          <w:tcPr>
            <w:tcW w:w="720" w:type="dxa"/>
            <w:vMerge w:val="restart"/>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≥30</w:t>
            </w:r>
          </w:p>
        </w:tc>
        <w:tc>
          <w:tcPr>
            <w:tcW w:w="66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eastAsia="zh-CN"/>
              </w:rPr>
              <w:t>1.6-</w:t>
            </w:r>
            <w:r>
              <w:rPr>
                <w:rFonts w:hint="eastAsia" w:ascii="仿宋_GB2312" w:hAnsi="Times New Roman" w:eastAsia="仿宋_GB2312" w:cs="Times New Roman"/>
                <w:szCs w:val="21"/>
                <w:lang w:val="en-US" w:eastAsia="zh-CN"/>
              </w:rPr>
              <w:t>5.0</w:t>
            </w:r>
          </w:p>
        </w:tc>
        <w:tc>
          <w:tcPr>
            <w:tcW w:w="178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84219.2-263185（其中配套设施建筑面积≥250）</w:t>
            </w:r>
          </w:p>
        </w:tc>
        <w:tc>
          <w:tcPr>
            <w:tcW w:w="1061" w:type="dxa"/>
            <w:vMerge w:val="restart"/>
            <w:vAlign w:val="center"/>
          </w:tcPr>
          <w:p>
            <w:pPr>
              <w:jc w:val="center"/>
              <w:rPr>
                <w:rFonts w:hint="default" w:ascii="仿宋_GB2312" w:hAnsi="Times New Roman" w:eastAsia="仿宋_GB2312" w:cs="Times New Roman"/>
                <w:szCs w:val="21"/>
                <w:highlight w:val="none"/>
                <w:lang w:val="en-US" w:eastAsia="zh-CN"/>
              </w:rPr>
            </w:pPr>
            <w:r>
              <w:rPr>
                <w:rFonts w:hint="eastAsia" w:ascii="仿宋_GB2312" w:hAnsi="Times New Roman" w:eastAsia="仿宋_GB2312" w:cs="Times New Roman"/>
                <w:szCs w:val="21"/>
                <w:lang w:val="en-US" w:eastAsia="zh-CN"/>
              </w:rPr>
              <w:t>行政办公及生活服务设施每100平方米计容积率建筑面积≥1个，厂房每100平方米计容积率建筑面积≥0.3个。停车场须按不低于总停车位的10%的比例配置充电设施。</w:t>
            </w:r>
          </w:p>
        </w:tc>
        <w:tc>
          <w:tcPr>
            <w:tcW w:w="969" w:type="dxa"/>
            <w:vMerge w:val="restart"/>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15-20</w:t>
            </w:r>
          </w:p>
        </w:tc>
        <w:tc>
          <w:tcPr>
            <w:tcW w:w="813" w:type="dxa"/>
            <w:vMerge w:val="restart"/>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专用设备制造业用地</w:t>
            </w:r>
          </w:p>
        </w:tc>
        <w:tc>
          <w:tcPr>
            <w:tcW w:w="670" w:type="dxa"/>
            <w:vMerge w:val="restart"/>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5</w:t>
            </w:r>
            <w:r>
              <w:rPr>
                <w:rFonts w:hint="eastAsia" w:ascii="仿宋_GB2312" w:hAnsi="Times New Roman" w:eastAsia="仿宋_GB2312" w:cs="Times New Roman"/>
                <w:szCs w:val="21"/>
                <w:lang w:eastAsia="zh-CN"/>
              </w:rPr>
              <w:t>0年</w:t>
            </w:r>
          </w:p>
          <w:p>
            <w:pPr>
              <w:jc w:val="center"/>
              <w:rPr>
                <w:rFonts w:hint="eastAsia" w:ascii="仿宋_GB2312"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6" w:hRule="atLeast"/>
          <w:jc w:val="center"/>
        </w:trPr>
        <w:tc>
          <w:tcPr>
            <w:tcW w:w="705" w:type="dxa"/>
            <w:vMerge w:val="continue"/>
            <w:tcMar>
              <w:left w:w="0" w:type="dxa"/>
              <w:right w:w="0" w:type="dxa"/>
            </w:tcMar>
            <w:vAlign w:val="center"/>
          </w:tcPr>
          <w:p>
            <w:pPr>
              <w:jc w:val="center"/>
              <w:rPr>
                <w:rFonts w:hint="eastAsia" w:ascii="仿宋_GB2312" w:hAnsi="Times New Roman" w:eastAsia="仿宋_GB2312" w:cs="Times New Roman"/>
                <w:szCs w:val="21"/>
                <w:lang w:val="en-US" w:eastAsia="zh-CN"/>
              </w:rPr>
            </w:pPr>
          </w:p>
        </w:tc>
        <w:tc>
          <w:tcPr>
            <w:tcW w:w="690" w:type="dxa"/>
            <w:vAlign w:val="center"/>
          </w:tcPr>
          <w:p>
            <w:pPr>
              <w:jc w:val="center"/>
              <w:rPr>
                <w:rFonts w:hint="eastAsia"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惠州市惠城区马安中心区JD37-10地块</w:t>
            </w:r>
          </w:p>
        </w:tc>
        <w:tc>
          <w:tcPr>
            <w:tcW w:w="615"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JD37-10</w:t>
            </w:r>
          </w:p>
        </w:tc>
        <w:tc>
          <w:tcPr>
            <w:tcW w:w="570" w:type="dxa"/>
            <w:tcMar>
              <w:left w:w="0" w:type="dxa"/>
              <w:right w:w="0" w:type="dxa"/>
            </w:tcMar>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一类工业用地</w:t>
            </w:r>
          </w:p>
        </w:tc>
        <w:tc>
          <w:tcPr>
            <w:tcW w:w="774" w:type="dxa"/>
            <w:vAlign w:val="center"/>
          </w:tcPr>
          <w:p>
            <w:pPr>
              <w:jc w:val="center"/>
              <w:rPr>
                <w:rFonts w:hint="default" w:ascii="仿宋_GB2312" w:hAnsi="Times New Roman" w:eastAsia="仿宋_GB2312" w:cs="Times New Roman"/>
                <w:szCs w:val="21"/>
                <w:lang w:val="en-US" w:eastAsia="zh-CN"/>
              </w:rPr>
            </w:pPr>
            <w:r>
              <w:rPr>
                <w:rFonts w:hint="default" w:ascii="仿宋_GB2312" w:hAnsi="Times New Roman" w:eastAsia="仿宋_GB2312" w:cs="Times New Roman"/>
                <w:szCs w:val="21"/>
                <w:lang w:val="en-US" w:eastAsia="zh-CN"/>
              </w:rPr>
              <w:t>28</w:t>
            </w:r>
            <w:r>
              <w:rPr>
                <w:rFonts w:hint="eastAsia" w:ascii="仿宋_GB2312" w:hAnsi="Times New Roman" w:eastAsia="仿宋_GB2312" w:cs="Times New Roman"/>
                <w:szCs w:val="21"/>
                <w:lang w:val="en-US" w:eastAsia="zh-CN"/>
              </w:rPr>
              <w:t>38</w:t>
            </w:r>
            <w:r>
              <w:rPr>
                <w:rFonts w:hint="default" w:ascii="仿宋_GB2312" w:hAnsi="Times New Roman" w:eastAsia="仿宋_GB2312" w:cs="Times New Roman"/>
                <w:szCs w:val="21"/>
                <w:lang w:val="en-US" w:eastAsia="zh-CN"/>
              </w:rPr>
              <w:t>.83</w:t>
            </w:r>
          </w:p>
        </w:tc>
        <w:tc>
          <w:tcPr>
            <w:tcW w:w="948"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4617</w:t>
            </w:r>
          </w:p>
        </w:tc>
        <w:tc>
          <w:tcPr>
            <w:tcW w:w="720" w:type="dxa"/>
            <w:vMerge w:val="continue"/>
            <w:vAlign w:val="center"/>
          </w:tcPr>
          <w:p>
            <w:pPr>
              <w:jc w:val="center"/>
              <w:rPr>
                <w:rFonts w:hint="eastAsia" w:ascii="仿宋_GB2312" w:hAnsi="Times New Roman" w:eastAsia="仿宋_GB2312" w:cs="Times New Roman"/>
                <w:szCs w:val="21"/>
                <w:lang w:val="en-US" w:eastAsia="zh-CN"/>
              </w:rPr>
            </w:pPr>
          </w:p>
        </w:tc>
        <w:tc>
          <w:tcPr>
            <w:tcW w:w="660" w:type="dxa"/>
            <w:vAlign w:val="center"/>
          </w:tcPr>
          <w:p>
            <w:pPr>
              <w:jc w:val="center"/>
              <w:rPr>
                <w:rFonts w:hint="default" w:ascii="仿宋_GB2312" w:hAnsi="Times New Roman" w:eastAsia="仿宋_GB2312" w:cs="Times New Roman"/>
                <w:szCs w:val="21"/>
                <w:lang w:val="en-US" w:eastAsia="zh-CN"/>
              </w:rPr>
            </w:pPr>
            <w:r>
              <w:rPr>
                <w:rFonts w:hint="eastAsia" w:ascii="仿宋_GB2312" w:hAnsi="Times New Roman" w:eastAsia="仿宋_GB2312" w:cs="Times New Roman"/>
                <w:szCs w:val="21"/>
                <w:lang w:val="en-US" w:eastAsia="zh-CN"/>
              </w:rPr>
              <w:t>1.6-2.5</w:t>
            </w:r>
          </w:p>
        </w:tc>
        <w:tc>
          <w:tcPr>
            <w:tcW w:w="1785" w:type="dxa"/>
            <w:vAlign w:val="center"/>
          </w:tcPr>
          <w:p>
            <w:pPr>
              <w:jc w:val="center"/>
              <w:rPr>
                <w:rFonts w:hint="eastAsia" w:ascii="仿宋_GB2312" w:hAnsi="Times New Roman" w:eastAsia="仿宋_GB2312" w:cs="Times New Roman"/>
                <w:szCs w:val="21"/>
                <w:lang w:eastAsia="zh-CN"/>
              </w:rPr>
            </w:pPr>
            <w:r>
              <w:rPr>
                <w:rFonts w:hint="eastAsia" w:ascii="仿宋_GB2312" w:hAnsi="Times New Roman" w:eastAsia="仿宋_GB2312" w:cs="Times New Roman"/>
                <w:szCs w:val="21"/>
                <w:lang w:val="en-US" w:eastAsia="zh-CN"/>
              </w:rPr>
              <w:t>7388-11542</w:t>
            </w:r>
          </w:p>
        </w:tc>
        <w:tc>
          <w:tcPr>
            <w:tcW w:w="1061" w:type="dxa"/>
            <w:vMerge w:val="continue"/>
            <w:vAlign w:val="center"/>
          </w:tcPr>
          <w:p>
            <w:pPr>
              <w:jc w:val="center"/>
              <w:rPr>
                <w:rFonts w:hint="eastAsia" w:ascii="仿宋_GB2312" w:hAnsi="Times New Roman" w:eastAsia="仿宋_GB2312" w:cs="Times New Roman"/>
                <w:szCs w:val="21"/>
                <w:lang w:val="en-US" w:eastAsia="zh-CN"/>
              </w:rPr>
            </w:pPr>
          </w:p>
        </w:tc>
        <w:tc>
          <w:tcPr>
            <w:tcW w:w="969" w:type="dxa"/>
            <w:vMerge w:val="continue"/>
            <w:vAlign w:val="center"/>
          </w:tcPr>
          <w:p>
            <w:pPr>
              <w:jc w:val="center"/>
              <w:rPr>
                <w:rFonts w:hint="eastAsia" w:ascii="仿宋_GB2312" w:hAnsi="Times New Roman" w:eastAsia="仿宋_GB2312" w:cs="Times New Roman"/>
                <w:szCs w:val="21"/>
                <w:lang w:val="en-US" w:eastAsia="zh-CN"/>
              </w:rPr>
            </w:pPr>
          </w:p>
        </w:tc>
        <w:tc>
          <w:tcPr>
            <w:tcW w:w="813" w:type="dxa"/>
            <w:vMerge w:val="continue"/>
            <w:vAlign w:val="center"/>
          </w:tcPr>
          <w:p>
            <w:pPr>
              <w:jc w:val="center"/>
              <w:rPr>
                <w:rFonts w:hint="eastAsia" w:ascii="仿宋_GB2312" w:hAnsi="Times New Roman" w:eastAsia="仿宋_GB2312" w:cs="Times New Roman"/>
                <w:szCs w:val="21"/>
                <w:lang w:val="en-US" w:eastAsia="zh-CN"/>
              </w:rPr>
            </w:pPr>
          </w:p>
        </w:tc>
        <w:tc>
          <w:tcPr>
            <w:tcW w:w="670" w:type="dxa"/>
            <w:vMerge w:val="continue"/>
            <w:vAlign w:val="center"/>
          </w:tcPr>
          <w:p>
            <w:pPr>
              <w:jc w:val="center"/>
              <w:rPr>
                <w:rFonts w:hint="eastAsia" w:ascii="仿宋_GB2312" w:hAnsi="Times New Roman" w:eastAsia="仿宋_GB2312" w:cs="Times New Roman"/>
                <w:szCs w:val="21"/>
                <w:lang w:val="en-US" w:eastAsia="zh-CN"/>
              </w:rPr>
            </w:pP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- 4 -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rPr>
    </w:pPr>
  </w:p>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0D43"/>
    <w:rsid w:val="015539EC"/>
    <w:rsid w:val="017F36AB"/>
    <w:rsid w:val="02624B0F"/>
    <w:rsid w:val="03043D1C"/>
    <w:rsid w:val="045C3FD8"/>
    <w:rsid w:val="07386886"/>
    <w:rsid w:val="07895069"/>
    <w:rsid w:val="082B1937"/>
    <w:rsid w:val="09F32886"/>
    <w:rsid w:val="0C762EAF"/>
    <w:rsid w:val="0D167AC3"/>
    <w:rsid w:val="0D430223"/>
    <w:rsid w:val="0DF23899"/>
    <w:rsid w:val="0E324BA8"/>
    <w:rsid w:val="0E7A65F6"/>
    <w:rsid w:val="101D3BC2"/>
    <w:rsid w:val="10BD4DFA"/>
    <w:rsid w:val="11BA5FAE"/>
    <w:rsid w:val="1226265C"/>
    <w:rsid w:val="129A05F9"/>
    <w:rsid w:val="13172892"/>
    <w:rsid w:val="137618AF"/>
    <w:rsid w:val="13D50F1B"/>
    <w:rsid w:val="152679C7"/>
    <w:rsid w:val="161D2710"/>
    <w:rsid w:val="167673A1"/>
    <w:rsid w:val="16AA6FD1"/>
    <w:rsid w:val="16D56AAC"/>
    <w:rsid w:val="17AA0480"/>
    <w:rsid w:val="17E26192"/>
    <w:rsid w:val="188D227F"/>
    <w:rsid w:val="192F711A"/>
    <w:rsid w:val="1A0B2C56"/>
    <w:rsid w:val="1A711348"/>
    <w:rsid w:val="1AA5305E"/>
    <w:rsid w:val="1ADB0E54"/>
    <w:rsid w:val="1B58380F"/>
    <w:rsid w:val="1C5904D7"/>
    <w:rsid w:val="1C6D768E"/>
    <w:rsid w:val="1CCF34CF"/>
    <w:rsid w:val="1DE30B94"/>
    <w:rsid w:val="1E862B6D"/>
    <w:rsid w:val="1F7C2358"/>
    <w:rsid w:val="1FB07F91"/>
    <w:rsid w:val="1FFD6DA9"/>
    <w:rsid w:val="20C82B61"/>
    <w:rsid w:val="20ED2229"/>
    <w:rsid w:val="22890C8D"/>
    <w:rsid w:val="23A027B1"/>
    <w:rsid w:val="27A65DB8"/>
    <w:rsid w:val="28774868"/>
    <w:rsid w:val="2A6B42FA"/>
    <w:rsid w:val="2A870225"/>
    <w:rsid w:val="2B5D4967"/>
    <w:rsid w:val="2B6B3734"/>
    <w:rsid w:val="2D881864"/>
    <w:rsid w:val="303311FD"/>
    <w:rsid w:val="304C7078"/>
    <w:rsid w:val="31CE6D72"/>
    <w:rsid w:val="320F48E7"/>
    <w:rsid w:val="33861F14"/>
    <w:rsid w:val="34412DD7"/>
    <w:rsid w:val="35335FA2"/>
    <w:rsid w:val="36061489"/>
    <w:rsid w:val="366601E1"/>
    <w:rsid w:val="37607760"/>
    <w:rsid w:val="380440B7"/>
    <w:rsid w:val="381E07C6"/>
    <w:rsid w:val="38BD14D1"/>
    <w:rsid w:val="3B222C10"/>
    <w:rsid w:val="3BCC090A"/>
    <w:rsid w:val="3C13026D"/>
    <w:rsid w:val="3D270295"/>
    <w:rsid w:val="3DDC60B5"/>
    <w:rsid w:val="3E0D02CF"/>
    <w:rsid w:val="40231E47"/>
    <w:rsid w:val="40363F40"/>
    <w:rsid w:val="409256E4"/>
    <w:rsid w:val="40B33D72"/>
    <w:rsid w:val="411B39E1"/>
    <w:rsid w:val="41894F39"/>
    <w:rsid w:val="42CE6157"/>
    <w:rsid w:val="430E12F4"/>
    <w:rsid w:val="43706132"/>
    <w:rsid w:val="447820DC"/>
    <w:rsid w:val="44966F93"/>
    <w:rsid w:val="45C047BF"/>
    <w:rsid w:val="47A409C1"/>
    <w:rsid w:val="48C16512"/>
    <w:rsid w:val="4A1228DB"/>
    <w:rsid w:val="4A1B1ECC"/>
    <w:rsid w:val="4A781C8B"/>
    <w:rsid w:val="4AE74DD0"/>
    <w:rsid w:val="4C2E14D5"/>
    <w:rsid w:val="4CC552AB"/>
    <w:rsid w:val="4CDC7C88"/>
    <w:rsid w:val="4EC91786"/>
    <w:rsid w:val="4F861E18"/>
    <w:rsid w:val="538C505C"/>
    <w:rsid w:val="540106D5"/>
    <w:rsid w:val="546946EF"/>
    <w:rsid w:val="565101CA"/>
    <w:rsid w:val="567F481B"/>
    <w:rsid w:val="578E459E"/>
    <w:rsid w:val="57A3234F"/>
    <w:rsid w:val="57C844D5"/>
    <w:rsid w:val="59400AE8"/>
    <w:rsid w:val="596A13D8"/>
    <w:rsid w:val="5A893EB0"/>
    <w:rsid w:val="5AF873B7"/>
    <w:rsid w:val="5BD95AEB"/>
    <w:rsid w:val="5D241B5A"/>
    <w:rsid w:val="5D471E01"/>
    <w:rsid w:val="5E3B0440"/>
    <w:rsid w:val="5F626A65"/>
    <w:rsid w:val="606821F3"/>
    <w:rsid w:val="62C8109B"/>
    <w:rsid w:val="64465877"/>
    <w:rsid w:val="64D925C4"/>
    <w:rsid w:val="68527CA2"/>
    <w:rsid w:val="692A6240"/>
    <w:rsid w:val="6E5E4362"/>
    <w:rsid w:val="6EB83079"/>
    <w:rsid w:val="6F4B3B48"/>
    <w:rsid w:val="6FF0551C"/>
    <w:rsid w:val="700A52E4"/>
    <w:rsid w:val="71535A04"/>
    <w:rsid w:val="727D44B4"/>
    <w:rsid w:val="733017D8"/>
    <w:rsid w:val="736D1677"/>
    <w:rsid w:val="73BE7EBD"/>
    <w:rsid w:val="73F61648"/>
    <w:rsid w:val="7451643C"/>
    <w:rsid w:val="748840AA"/>
    <w:rsid w:val="761352C3"/>
    <w:rsid w:val="77DD303C"/>
    <w:rsid w:val="782A0826"/>
    <w:rsid w:val="79E82C45"/>
    <w:rsid w:val="7B832F79"/>
    <w:rsid w:val="7CC70D09"/>
    <w:rsid w:val="7D060077"/>
    <w:rsid w:val="7E0F4C24"/>
    <w:rsid w:val="7EAF3DC9"/>
    <w:rsid w:val="7F25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Administrator</dc:creator>
  <cp:lastModifiedBy>杨惠丹</cp:lastModifiedBy>
  <cp:lastPrinted>2021-12-09T06:38:00Z</cp:lastPrinted>
  <dcterms:modified xsi:type="dcterms:W3CDTF">2021-12-10T00:56:47Z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