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051</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起始价为人民币</w:t>
      </w:r>
      <w:r>
        <w:rPr>
          <w:rFonts w:hint="eastAsia" w:ascii="仿宋_GB2312" w:hAnsi="仿宋" w:eastAsia="仿宋_GB2312"/>
          <w:sz w:val="32"/>
          <w:szCs w:val="32"/>
          <w:lang w:val="en-US" w:eastAsia="zh-CN"/>
        </w:rPr>
        <w:t>3550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highlight w:val="none"/>
        </w:rPr>
      </w:pPr>
      <w:r>
        <w:rPr>
          <w:rFonts w:hint="eastAsia" w:hAnsi="仿宋_GB2312" w:cs="仿宋_GB2312"/>
          <w:szCs w:val="32"/>
          <w:highlight w:val="none"/>
          <w:lang w:val="en-US" w:eastAsia="zh-CN"/>
        </w:rPr>
        <w:t>五</w:t>
      </w:r>
      <w:r>
        <w:rPr>
          <w:rFonts w:hint="eastAsia" w:hAnsi="仿宋_GB2312" w:cs="仿宋_GB2312"/>
          <w:szCs w:val="32"/>
          <w:highlight w:val="none"/>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highlight w:val="none"/>
        </w:rPr>
        <w:t>（一）缴交竞买保证金1065万</w:t>
      </w:r>
      <w:r>
        <w:rPr>
          <w:rFonts w:hint="eastAsia" w:hAnsi="仿宋_GB2312" w:cs="仿宋_GB2312"/>
          <w:szCs w:val="32"/>
        </w:rPr>
        <w:t>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lang w:eastAsia="zh-CN"/>
        </w:rPr>
        <w:t>（</w:t>
      </w:r>
      <w:r>
        <w:rPr>
          <w:rFonts w:hint="eastAsia" w:hAnsi="仿宋_GB2312" w:cs="仿宋_GB2312"/>
          <w:szCs w:val="32"/>
          <w:lang w:val="en-US" w:eastAsia="zh-CN"/>
        </w:rPr>
        <w:t>二</w:t>
      </w:r>
      <w:r>
        <w:rPr>
          <w:rFonts w:hint="eastAsia" w:hAnsi="仿宋_GB2312" w:cs="仿宋_GB2312"/>
          <w:szCs w:val="32"/>
          <w:lang w:eastAsia="zh-CN"/>
        </w:rPr>
        <w:t>）</w:t>
      </w:r>
      <w:r>
        <w:rPr>
          <w:rFonts w:hint="eastAsia" w:ascii="仿宋_GB2312" w:hAnsi="仿宋_GB2312" w:eastAsia="仿宋_GB2312" w:cs="仿宋_GB2312"/>
          <w:sz w:val="32"/>
          <w:szCs w:val="32"/>
        </w:rPr>
        <w:t>竞买人须</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惠城区发改局出具的与该宗地块规划确定的产业类型一致的优先发展产业项目文件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52808</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（二）竞得人在用地红线内开发建设必须符合城市规划要求，必须按《建设用地规划设计条件》（案卷编号：PB20210070）的规划控制指标要求及有关规定进行规划设计。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项目规划建设方案</w:t>
      </w:r>
    </w:p>
    <w:p>
      <w:pPr>
        <w:pageBreakBefore w:val="0"/>
        <w:widowControl/>
        <w:kinsoku/>
        <w:wordWrap/>
        <w:overflowPunct/>
        <w:topLinePunct w:val="0"/>
        <w:autoSpaceDE/>
        <w:autoSpaceDN/>
        <w:bidi w:val="0"/>
        <w:adjustRightInd/>
        <w:snapToGrid/>
        <w:spacing w:line="520" w:lineRule="exact"/>
        <w:ind w:firstLine="641"/>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所报总平面图的主要技术经济指标：规划布局8栋厂房、1栋宿舍，建筑层数地上最高11层，地下1层，计算指标用地面积35205平方米，计容积率总建筑面积88012平方米（其中生活服务设施用地占比2.6%，建筑面积占比8%），容积率2.5，建筑系数35.73%，绿地率15.01%，机动车停车位314个（其中地上104个，地下210个）。各项指标满足《建设用地规划设计条件》（PB20210070号）要求。须按程序进行公示，公示期未收到公众意见，满足相关技术规范要求则拟同意所报总平面图及单体建筑设计方案。建设单位须同步做好管线综合设计报审，排水设计应实施雨污分流，建筑设计须符合国家、省、市有关绿色建筑和建筑节能方面的技术规范和标准，须按海绵城市设计要求做好设计及施工，本项目应按照《惠州市人民政府办公室关于大力发展装配式建筑的实施意见》（惠府办〔2019〕10号）的要求执行，停车场须按不低于总停车位的10%的比例配置充电设施。须按人防相关文件、规范要求做好人防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投资强度不低于15000元/平方米，土地产出率不低于22500元/平方米/年（其中，工业产值不低于13500元/平方米/年），税收产出不低于1250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汝湖镇人民政府提交项目投资计划书和时间安排表，并按月向惠州市惠城区汝湖镇人民政府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kern w:val="0"/>
          <w:sz w:val="32"/>
          <w:szCs w:val="32"/>
          <w:lang w:val="en-US" w:eastAsia="zh-CN"/>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lang w:val="en-US" w:eastAsia="zh-CN"/>
        </w:rPr>
        <w:t>汝湖镇人民政府</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宋体" w:eastAsia="仿宋_GB2312" w:cs="宋体"/>
          <w:kern w:val="0"/>
          <w:sz w:val="32"/>
          <w:szCs w:val="32"/>
          <w:lang w:val="en-US" w:eastAsia="zh-CN"/>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lang w:val="en-US" w:eastAsia="zh-CN"/>
        </w:rPr>
        <w:t>汝湖镇人民政府</w:t>
      </w:r>
      <w:r>
        <w:rPr>
          <w:rFonts w:hint="eastAsia" w:ascii="仿宋_GB2312" w:hAnsi="仿宋_GB2312" w:eastAsia="仿宋_GB2312" w:cs="仿宋_GB2312"/>
          <w:color w:val="auto"/>
          <w:sz w:val="32"/>
          <w:szCs w:val="32"/>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w:t>
      </w:r>
      <w:r>
        <w:rPr>
          <w:rFonts w:hint="eastAsia" w:ascii="仿宋_GB2312" w:hAnsi="仿宋_GB2312" w:eastAsia="仿宋_GB2312" w:cs="仿宋_GB2312"/>
          <w:sz w:val="32"/>
          <w:szCs w:val="32"/>
          <w:lang w:val="en-US" w:eastAsia="zh-CN"/>
        </w:rPr>
        <w:t>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杨工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联系人：罗工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2021年12月3日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用地</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GP2021-51</w:t>
            </w:r>
            <w:bookmarkStart w:id="0" w:name="_GoBack"/>
            <w:bookmarkEnd w:id="0"/>
            <w:r>
              <w:rPr>
                <w:rFonts w:hint="eastAsia" w:ascii="仿宋_GB2312" w:hAnsi="Times New Roman" w:eastAsia="仿宋_GB2312" w:cs="Times New Roman"/>
                <w:szCs w:val="21"/>
                <w:lang w:val="en-US" w:eastAsia="zh-CN"/>
              </w:rPr>
              <w:t xml:space="preserve"> </w:t>
            </w:r>
          </w:p>
        </w:tc>
        <w:tc>
          <w:tcPr>
            <w:tcW w:w="69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w:t>
            </w:r>
            <w:r>
              <w:rPr>
                <w:rFonts w:hint="default" w:ascii="仿宋_GB2312" w:hAnsi="Times New Roman" w:eastAsia="仿宋_GB2312" w:cs="Times New Roman"/>
                <w:szCs w:val="21"/>
                <w:lang w:val="en-US" w:eastAsia="zh-CN"/>
              </w:rPr>
              <w:t>惠城区汝湖中心区北部工业区JBD91-01-02地块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JBD91-01-02</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一类工业用地（</w:t>
            </w:r>
            <w:r>
              <w:rPr>
                <w:rFonts w:hint="eastAsia" w:ascii="仿宋_GB2312" w:hAnsi="Times New Roman" w:eastAsia="仿宋_GB2312" w:cs="Times New Roman"/>
                <w:szCs w:val="21"/>
                <w:lang w:val="en-US" w:eastAsia="zh-CN"/>
              </w:rPr>
              <w:t>兼容一类物流仓储用地</w:t>
            </w:r>
            <w:r>
              <w:rPr>
                <w:rFonts w:hint="eastAsia" w:ascii="仿宋_GB2312" w:hAnsi="Times New Roman" w:eastAsia="仿宋_GB2312" w:cs="Times New Roman"/>
                <w:szCs w:val="21"/>
                <w:lang w:eastAsia="zh-CN"/>
              </w:rPr>
              <w:t>）</w:t>
            </w:r>
          </w:p>
        </w:tc>
        <w:tc>
          <w:tcPr>
            <w:tcW w:w="774"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29989.64</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35205</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1.6-2.5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56328-88012</w:t>
            </w:r>
            <w:r>
              <w:rPr>
                <w:rFonts w:hint="eastAsia" w:ascii="仿宋_GB2312" w:hAnsi="Times New Roman" w:eastAsia="仿宋_GB2312" w:cs="Times New Roman"/>
                <w:szCs w:val="21"/>
                <w:lang w:val="en-US" w:eastAsia="zh-CN"/>
              </w:rPr>
              <w:t>（其中配套设施建筑面积≥</w:t>
            </w:r>
            <w:r>
              <w:rPr>
                <w:rFonts w:hint="default" w:ascii="仿宋_GB2312" w:hAnsi="Times New Roman" w:eastAsia="仿宋_GB2312" w:cs="Times New Roman"/>
                <w:szCs w:val="21"/>
                <w:lang w:val="en-US" w:eastAsia="zh-CN"/>
              </w:rPr>
              <w:t>100</w:t>
            </w:r>
            <w:r>
              <w:rPr>
                <w:rFonts w:hint="eastAsia" w:ascii="仿宋_GB2312" w:hAnsi="Times New Roman" w:eastAsia="仿宋_GB2312" w:cs="Times New Roman"/>
                <w:szCs w:val="21"/>
                <w:lang w:val="en-US" w:eastAsia="zh-CN"/>
              </w:rPr>
              <w:t>）</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行政办公及生活服务设施每100平方米计容积率建筑面积≥1个，厂房及仓储每100平方米计容积率建筑面积≥0.3个。停车场须按不低于总停车位的10%的比例配置充电设施。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专业产业园区运营、科技推广和应用服务业用地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17F36AB"/>
    <w:rsid w:val="02624B0F"/>
    <w:rsid w:val="03043D1C"/>
    <w:rsid w:val="045C3FD8"/>
    <w:rsid w:val="07386886"/>
    <w:rsid w:val="07895069"/>
    <w:rsid w:val="082B1937"/>
    <w:rsid w:val="09F32886"/>
    <w:rsid w:val="0C762EAF"/>
    <w:rsid w:val="0D167AC3"/>
    <w:rsid w:val="0D430223"/>
    <w:rsid w:val="0DF23899"/>
    <w:rsid w:val="0E324BA8"/>
    <w:rsid w:val="0E7A65F6"/>
    <w:rsid w:val="101D3BC2"/>
    <w:rsid w:val="10BD4DFA"/>
    <w:rsid w:val="11BA5FAE"/>
    <w:rsid w:val="1226265C"/>
    <w:rsid w:val="129A05F9"/>
    <w:rsid w:val="13172892"/>
    <w:rsid w:val="137618AF"/>
    <w:rsid w:val="13D50F1B"/>
    <w:rsid w:val="161D2710"/>
    <w:rsid w:val="167673A1"/>
    <w:rsid w:val="16AA6FD1"/>
    <w:rsid w:val="16D56AAC"/>
    <w:rsid w:val="17AA0480"/>
    <w:rsid w:val="17E26192"/>
    <w:rsid w:val="188D227F"/>
    <w:rsid w:val="192F711A"/>
    <w:rsid w:val="1A0B2C56"/>
    <w:rsid w:val="1A711348"/>
    <w:rsid w:val="1AA5305E"/>
    <w:rsid w:val="1ADB0E54"/>
    <w:rsid w:val="1B58380F"/>
    <w:rsid w:val="1C5904D7"/>
    <w:rsid w:val="1C6D768E"/>
    <w:rsid w:val="1DE30B94"/>
    <w:rsid w:val="1E862B6D"/>
    <w:rsid w:val="1F7C2358"/>
    <w:rsid w:val="1FB07F91"/>
    <w:rsid w:val="1FFD6DA9"/>
    <w:rsid w:val="20C82B61"/>
    <w:rsid w:val="20ED2229"/>
    <w:rsid w:val="22890C8D"/>
    <w:rsid w:val="23A027B1"/>
    <w:rsid w:val="27A65DB8"/>
    <w:rsid w:val="28774868"/>
    <w:rsid w:val="2A6B42FA"/>
    <w:rsid w:val="2A870225"/>
    <w:rsid w:val="2B5D4967"/>
    <w:rsid w:val="2B6B3734"/>
    <w:rsid w:val="2D881864"/>
    <w:rsid w:val="304C7078"/>
    <w:rsid w:val="31CE6D72"/>
    <w:rsid w:val="33861F14"/>
    <w:rsid w:val="34412DD7"/>
    <w:rsid w:val="35335FA2"/>
    <w:rsid w:val="36061489"/>
    <w:rsid w:val="366601E1"/>
    <w:rsid w:val="37607760"/>
    <w:rsid w:val="380440B7"/>
    <w:rsid w:val="381E07C6"/>
    <w:rsid w:val="38BD14D1"/>
    <w:rsid w:val="3B222C10"/>
    <w:rsid w:val="3BCC090A"/>
    <w:rsid w:val="3C13026D"/>
    <w:rsid w:val="3D270295"/>
    <w:rsid w:val="3DDC60B5"/>
    <w:rsid w:val="3E0D02CF"/>
    <w:rsid w:val="40231E47"/>
    <w:rsid w:val="40363F40"/>
    <w:rsid w:val="409256E4"/>
    <w:rsid w:val="40B33D72"/>
    <w:rsid w:val="411B39E1"/>
    <w:rsid w:val="41894F39"/>
    <w:rsid w:val="42CE6157"/>
    <w:rsid w:val="43706132"/>
    <w:rsid w:val="447820DC"/>
    <w:rsid w:val="44966F93"/>
    <w:rsid w:val="45C047BF"/>
    <w:rsid w:val="47A409C1"/>
    <w:rsid w:val="48C16512"/>
    <w:rsid w:val="4A1228DB"/>
    <w:rsid w:val="4A1B1ECC"/>
    <w:rsid w:val="4AE74DD0"/>
    <w:rsid w:val="4C2E14D5"/>
    <w:rsid w:val="4CC552AB"/>
    <w:rsid w:val="4CDC7C88"/>
    <w:rsid w:val="4EC91786"/>
    <w:rsid w:val="4F861E18"/>
    <w:rsid w:val="538C505C"/>
    <w:rsid w:val="540106D5"/>
    <w:rsid w:val="546946EF"/>
    <w:rsid w:val="565101CA"/>
    <w:rsid w:val="567F481B"/>
    <w:rsid w:val="578E459E"/>
    <w:rsid w:val="57A3234F"/>
    <w:rsid w:val="57C844D5"/>
    <w:rsid w:val="59400AE8"/>
    <w:rsid w:val="596A13D8"/>
    <w:rsid w:val="5A893EB0"/>
    <w:rsid w:val="5AF873B7"/>
    <w:rsid w:val="5BD95AEB"/>
    <w:rsid w:val="5D241B5A"/>
    <w:rsid w:val="5D471E01"/>
    <w:rsid w:val="5E3B0440"/>
    <w:rsid w:val="5F626A65"/>
    <w:rsid w:val="606821F3"/>
    <w:rsid w:val="62C8109B"/>
    <w:rsid w:val="64D925C4"/>
    <w:rsid w:val="68527CA2"/>
    <w:rsid w:val="692A6240"/>
    <w:rsid w:val="6E5E4362"/>
    <w:rsid w:val="6EB83079"/>
    <w:rsid w:val="6F4B3B48"/>
    <w:rsid w:val="6FF0551C"/>
    <w:rsid w:val="700A52E4"/>
    <w:rsid w:val="71535A04"/>
    <w:rsid w:val="727D44B4"/>
    <w:rsid w:val="733017D8"/>
    <w:rsid w:val="736D1677"/>
    <w:rsid w:val="73BE7EBD"/>
    <w:rsid w:val="7451643C"/>
    <w:rsid w:val="748840AA"/>
    <w:rsid w:val="761352C3"/>
    <w:rsid w:val="77DD303C"/>
    <w:rsid w:val="782A0826"/>
    <w:rsid w:val="79E82C45"/>
    <w:rsid w:val="7B832F79"/>
    <w:rsid w:val="7CC70D09"/>
    <w:rsid w:val="7D060077"/>
    <w:rsid w:val="7E0F4C24"/>
    <w:rsid w:val="7EAF3DC9"/>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2021-12-03T01:55:28Z</cp:lastPrinted>
  <dcterms:modified xsi:type="dcterms:W3CDTF">2021-12-03T01:55:42Z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