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center"/>
        <w:rPr>
          <w:rFonts w:ascii="方正小标宋_GBK" w:hAnsi="华文中宋" w:eastAsia="方正小标宋_GBK"/>
          <w:b/>
          <w:bCs/>
          <w:spacing w:val="3"/>
          <w:sz w:val="44"/>
          <w:szCs w:val="44"/>
          <w:highlight w:val="none"/>
        </w:rPr>
      </w:pPr>
      <w:r>
        <w:rPr>
          <w:rFonts w:hint="eastAsia" w:ascii="方正小标宋_GBK" w:hAnsi="华文中宋" w:eastAsia="方正小标宋_GBK"/>
          <w:b/>
          <w:bCs/>
          <w:spacing w:val="3"/>
          <w:sz w:val="44"/>
          <w:szCs w:val="44"/>
          <w:highlight w:val="none"/>
        </w:rPr>
        <w:t>惠州市国有建设用地使用权</w:t>
      </w:r>
    </w:p>
    <w:p>
      <w:pPr>
        <w:shd w:val="clear"/>
        <w:tabs>
          <w:tab w:val="left" w:pos="11340"/>
        </w:tabs>
        <w:spacing w:line="600" w:lineRule="exact"/>
        <w:jc w:val="center"/>
        <w:rPr>
          <w:rFonts w:ascii="方正小标宋_GBK" w:eastAsia="方正小标宋_GBK"/>
          <w:b/>
          <w:bCs/>
          <w:spacing w:val="3"/>
          <w:sz w:val="48"/>
          <w:highlight w:val="none"/>
        </w:rPr>
      </w:pPr>
      <w:r>
        <w:rPr>
          <w:rFonts w:hint="eastAsia" w:ascii="方正小标宋_GBK" w:hAnsi="华文中宋" w:eastAsia="方正小标宋_GBK"/>
          <w:b/>
          <w:bCs/>
          <w:spacing w:val="3"/>
          <w:sz w:val="44"/>
          <w:szCs w:val="44"/>
          <w:highlight w:val="none"/>
        </w:rPr>
        <w:t>网上挂牌</w:t>
      </w:r>
      <w:r>
        <w:rPr>
          <w:rFonts w:hint="eastAsia" w:ascii="方正小标宋_GBK" w:hAnsi="华文中宋" w:eastAsia="方正小标宋_GBK"/>
          <w:b/>
          <w:bCs/>
          <w:sz w:val="44"/>
          <w:szCs w:val="44"/>
          <w:highlight w:val="none"/>
        </w:rPr>
        <w:t>出让须知</w:t>
      </w:r>
    </w:p>
    <w:p>
      <w:pPr>
        <w:shd w:val="clear"/>
        <w:spacing w:line="60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惠公易土市直[20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026</w:t>
      </w:r>
      <w:r>
        <w:rPr>
          <w:rFonts w:hint="eastAsia" w:ascii="仿宋_GB2312" w:hAnsi="仿宋_GB2312" w:eastAsia="仿宋_GB2312" w:cs="仿宋_GB2312"/>
          <w:sz w:val="32"/>
          <w:szCs w:val="32"/>
          <w:highlight w:val="none"/>
        </w:rPr>
        <w:t>号</w:t>
      </w:r>
    </w:p>
    <w:p>
      <w:pPr>
        <w:shd w:val="clear"/>
        <w:rPr>
          <w:rFonts w:ascii="仿宋_GB2312" w:hAnsi="仿宋_GB2312" w:eastAsia="仿宋_GB2312" w:cs="仿宋_GB2312"/>
          <w:sz w:val="32"/>
          <w:szCs w:val="32"/>
          <w:highlight w:val="none"/>
        </w:rPr>
      </w:pP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根据《中华人民共和国土地管理法》、《中华人民共和国城市房地产管理法》、《招标拍卖挂牌出让国有建设用地使用权规定》以及《招标拍卖</w:t>
      </w:r>
      <w:r>
        <w:rPr>
          <w:rFonts w:hint="eastAsia" w:ascii="仿宋_GB2312" w:hAnsi="仿宋_GB2312" w:eastAsia="仿宋_GB2312" w:cs="仿宋_GB2312"/>
          <w:sz w:val="32"/>
          <w:szCs w:val="32"/>
          <w:highlight w:val="none"/>
          <w:shd w:val="clear"/>
        </w:rPr>
        <w:t>挂牌出让国有土地使用权规范》等有关规定，经惠</w:t>
      </w:r>
      <w:r>
        <w:rPr>
          <w:rFonts w:hint="eastAsia" w:ascii="仿宋_GB2312" w:hAnsi="仿宋_GB2312" w:eastAsia="仿宋_GB2312" w:cs="仿宋_GB2312"/>
          <w:sz w:val="32"/>
          <w:szCs w:val="32"/>
          <w:highlight w:val="none"/>
          <w:shd w:val="clear" w:color="auto"/>
        </w:rPr>
        <w:t>州市</w:t>
      </w:r>
      <w:r>
        <w:rPr>
          <w:rFonts w:hint="eastAsia" w:ascii="仿宋_GB2312" w:hAnsi="仿宋_GB2312" w:eastAsia="仿宋_GB2312" w:cs="仿宋_GB2312"/>
          <w:sz w:val="32"/>
          <w:szCs w:val="32"/>
          <w:highlight w:val="none"/>
          <w:shd w:val="clear" w:color="auto"/>
          <w:lang w:val="en-US" w:eastAsia="zh-CN"/>
        </w:rPr>
        <w:t>惠</w:t>
      </w:r>
      <w:r>
        <w:rPr>
          <w:rFonts w:hint="eastAsia" w:ascii="仿宋_GB2312" w:hAnsi="仿宋_GB2312" w:eastAsia="仿宋_GB2312" w:cs="仿宋_GB2312"/>
          <w:sz w:val="32"/>
          <w:szCs w:val="32"/>
          <w:highlight w:val="none"/>
          <w:shd w:val="clear"/>
          <w:lang w:val="en-US" w:eastAsia="zh-CN"/>
        </w:rPr>
        <w:t>城区</w:t>
      </w:r>
      <w:r>
        <w:rPr>
          <w:rFonts w:hint="eastAsia" w:ascii="仿宋_GB2312" w:hAnsi="仿宋_GB2312" w:eastAsia="仿宋_GB2312" w:cs="仿宋_GB2312"/>
          <w:sz w:val="32"/>
          <w:szCs w:val="32"/>
          <w:highlight w:val="none"/>
          <w:shd w:val="clear"/>
        </w:rPr>
        <w:t>人民政府批</w:t>
      </w:r>
      <w:r>
        <w:rPr>
          <w:rFonts w:hint="eastAsia" w:ascii="仿宋_GB2312" w:hAnsi="仿宋_GB2312" w:eastAsia="仿宋_GB2312" w:cs="仿宋_GB2312"/>
          <w:sz w:val="32"/>
          <w:szCs w:val="32"/>
          <w:highlight w:val="none"/>
        </w:rPr>
        <w:t>准，受惠州市</w:t>
      </w:r>
      <w:r>
        <w:rPr>
          <w:rFonts w:hint="eastAsia" w:ascii="仿宋_GB2312" w:hAnsi="仿宋_GB2312" w:eastAsia="仿宋_GB2312" w:cs="仿宋_GB2312"/>
          <w:sz w:val="32"/>
          <w:szCs w:val="32"/>
          <w:highlight w:val="none"/>
          <w:lang w:val="en-US" w:eastAsia="zh-CN"/>
        </w:rPr>
        <w:t>惠城区</w:t>
      </w:r>
      <w:r>
        <w:rPr>
          <w:rFonts w:hint="eastAsia" w:ascii="仿宋_GB2312" w:hAnsi="仿宋_GB2312" w:eastAsia="仿宋_GB2312" w:cs="仿宋_GB2312"/>
          <w:sz w:val="32"/>
          <w:szCs w:val="32"/>
          <w:highlight w:val="none"/>
        </w:rPr>
        <w:t>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一、本次国有建设用地使用权网上挂牌出让的出让人为惠州市</w:t>
      </w:r>
      <w:r>
        <w:rPr>
          <w:rFonts w:hint="eastAsia" w:ascii="仿宋_GB2312" w:hAnsi="仿宋_GB2312" w:eastAsia="仿宋_GB2312" w:cs="仿宋_GB2312"/>
          <w:b/>
          <w:bCs/>
          <w:sz w:val="32"/>
          <w:szCs w:val="32"/>
          <w:highlight w:val="none"/>
          <w:lang w:val="en-US" w:eastAsia="zh-CN"/>
        </w:rPr>
        <w:t>惠城区</w:t>
      </w:r>
      <w:r>
        <w:rPr>
          <w:rFonts w:hint="eastAsia" w:ascii="仿宋_GB2312" w:hAnsi="仿宋_GB2312" w:eastAsia="仿宋_GB2312" w:cs="仿宋_GB2312"/>
          <w:b/>
          <w:bCs/>
          <w:sz w:val="32"/>
          <w:szCs w:val="32"/>
          <w:highlight w:val="none"/>
        </w:rPr>
        <w:t>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三、出让地块的基本情况及规划指标要求</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（一）挂牌地块编号：GP20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26</w:t>
      </w:r>
      <w:r>
        <w:rPr>
          <w:rFonts w:hint="eastAsia" w:ascii="仿宋_GB2312" w:hAnsi="仿宋_GB2312" w:eastAsia="仿宋_GB2312" w:cs="仿宋_GB2312"/>
          <w:sz w:val="32"/>
          <w:szCs w:val="32"/>
          <w:highlight w:val="none"/>
        </w:rPr>
        <w:t>；</w:t>
      </w:r>
    </w:p>
    <w:p>
      <w:pPr>
        <w:shd w:val="clear"/>
        <w:tabs>
          <w:tab w:val="left" w:pos="3388"/>
        </w:tabs>
        <w:spacing w:line="56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val="en-US" w:eastAsia="zh-CN"/>
        </w:rPr>
        <w:t>）地块位置：惠城区高新园三栋中心园石盘头片区S-30-04-01号地块;</w:t>
      </w:r>
    </w:p>
    <w:p>
      <w:pPr>
        <w:shd w:val="clear"/>
        <w:tabs>
          <w:tab w:val="left" w:pos="3388"/>
        </w:tabs>
        <w:spacing w:line="56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（三）地块编号：S-30-04-01;</w:t>
      </w:r>
    </w:p>
    <w:p>
      <w:pPr>
        <w:shd w:val="clea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（四）地块范围：</w:t>
      </w:r>
      <w:r>
        <w:rPr>
          <w:rFonts w:hint="eastAsia" w:ascii="仿宋_GB2312" w:hAnsi="宋体" w:eastAsia="仿宋_GB2312" w:cs="宋体"/>
          <w:color w:val="auto"/>
          <w:kern w:val="0"/>
          <w:sz w:val="32"/>
          <w:szCs w:val="32"/>
          <w:highlight w:val="none"/>
        </w:rPr>
        <w:t>平面界址点以宗地图为准，宗地竖向界限以《</w:t>
      </w:r>
      <w:r>
        <w:rPr>
          <w:rFonts w:hint="eastAsia" w:ascii="仿宋_GB2312" w:hAnsi="宋体" w:eastAsia="仿宋_GB2312" w:cs="宋体"/>
          <w:color w:val="auto"/>
          <w:kern w:val="0"/>
          <w:sz w:val="32"/>
          <w:szCs w:val="32"/>
          <w:highlight w:val="none"/>
          <w:lang w:val="en-US" w:eastAsia="zh-CN"/>
        </w:rPr>
        <w:t>建设用地规划设计条件</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val="en-US" w:eastAsia="zh-CN"/>
        </w:rPr>
        <w:t>PB20200073号</w:t>
      </w:r>
      <w:r>
        <w:rPr>
          <w:rFonts w:hint="eastAsia" w:ascii="仿宋_GB2312" w:hAnsi="宋体" w:eastAsia="仿宋_GB2312" w:cs="宋体"/>
          <w:color w:val="auto"/>
          <w:kern w:val="0"/>
          <w:sz w:val="32"/>
          <w:szCs w:val="32"/>
          <w:highlight w:val="none"/>
        </w:rPr>
        <w:t>）规定为准</w:t>
      </w:r>
      <w:r>
        <w:rPr>
          <w:rFonts w:hint="eastAsia" w:ascii="仿宋_GB2312" w:hAnsi="仿宋_GB2312" w:eastAsia="仿宋_GB2312" w:cs="仿宋_GB2312"/>
          <w:sz w:val="32"/>
          <w:szCs w:val="32"/>
          <w:highlight w:val="none"/>
        </w:rPr>
        <w:t>；</w:t>
      </w:r>
    </w:p>
    <w:p>
      <w:pPr>
        <w:shd w:val="clear"/>
        <w:tabs>
          <w:tab w:val="left" w:pos="840"/>
          <w:tab w:val="left" w:pos="3388"/>
        </w:tabs>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宗地使用权面积为：39011.86平方米；</w:t>
      </w:r>
    </w:p>
    <w:p>
      <w:pPr>
        <w:shd w:val="clear"/>
        <w:tabs>
          <w:tab w:val="left" w:pos="840"/>
          <w:tab w:val="left" w:pos="3388"/>
        </w:tabs>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（六）计算指标用地面积为：40741.49平方米；</w:t>
      </w:r>
    </w:p>
    <w:p>
      <w:pPr>
        <w:shd w:val="clear"/>
        <w:tabs>
          <w:tab w:val="left" w:pos="840"/>
          <w:tab w:val="left" w:pos="3388"/>
        </w:tabs>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（七）计容积率建筑面积：81652-136086（其中配套设施建筑面积≥60）平方米；</w:t>
      </w:r>
    </w:p>
    <w:p>
      <w:pPr>
        <w:shd w:val="clear"/>
        <w:tabs>
          <w:tab w:val="left" w:pos="840"/>
          <w:tab w:val="left" w:pos="3388"/>
        </w:tabs>
        <w:spacing w:line="56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（八）容积率为：1.8-3.0；</w:t>
      </w:r>
    </w:p>
    <w:p>
      <w:pPr>
        <w:shd w:val="clear"/>
        <w:tabs>
          <w:tab w:val="left" w:pos="840"/>
          <w:tab w:val="left" w:pos="3388"/>
        </w:tabs>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（九）建筑密度为：≥35%；</w:t>
      </w:r>
    </w:p>
    <w:p>
      <w:pPr>
        <w:shd w:val="clear"/>
        <w:tabs>
          <w:tab w:val="left" w:pos="3388"/>
        </w:tabs>
        <w:spacing w:line="56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十）机动车停车位配建标准：每100平方米计容积率建筑面积≥0.2个，停车场须按不低于10%的比例配置充电设施；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十一</w:t>
      </w:r>
      <w:r>
        <w:rPr>
          <w:rFonts w:hint="eastAsia" w:ascii="仿宋_GB2312" w:hAnsi="仿宋_GB2312" w:eastAsia="仿宋_GB2312" w:cs="仿宋_GB2312"/>
          <w:sz w:val="32"/>
          <w:szCs w:val="32"/>
          <w:highlight w:val="none"/>
        </w:rPr>
        <w:t>）土地用途为：</w:t>
      </w:r>
      <w:r>
        <w:rPr>
          <w:rFonts w:hint="eastAsia" w:ascii="仿宋_GB2312" w:hAnsi="仿宋_GB2312" w:eastAsia="仿宋_GB2312" w:cs="仿宋_GB2312"/>
          <w:sz w:val="32"/>
          <w:szCs w:val="32"/>
          <w:highlight w:val="none"/>
          <w:lang w:val="en-US" w:eastAsia="zh-CN"/>
        </w:rPr>
        <w:t>一类工业用地</w:t>
      </w:r>
      <w:r>
        <w:rPr>
          <w:rFonts w:hint="eastAsia" w:ascii="仿宋_GB2312" w:hAnsi="仿宋_GB2312" w:eastAsia="仿宋_GB2312" w:cs="仿宋_GB2312"/>
          <w:sz w:val="32"/>
          <w:szCs w:val="32"/>
          <w:highlight w:val="none"/>
        </w:rPr>
        <w:t>；</w:t>
      </w:r>
    </w:p>
    <w:p>
      <w:pPr>
        <w:shd w:val="clear"/>
        <w:tabs>
          <w:tab w:val="left" w:pos="3388"/>
        </w:tabs>
        <w:spacing w:line="560" w:lineRule="exact"/>
        <w:ind w:left="0" w:leftChars="0"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）土地使用权出让年</w:t>
      </w:r>
      <w:r>
        <w:rPr>
          <w:rFonts w:hint="eastAsia" w:ascii="仿宋_GB2312" w:hAnsi="仿宋_GB2312" w:eastAsia="仿宋_GB2312" w:cs="仿宋_GB2312"/>
          <w:sz w:val="32"/>
          <w:szCs w:val="32"/>
          <w:highlight w:val="none"/>
          <w:lang w:val="en-US" w:eastAsia="zh-CN"/>
        </w:rPr>
        <w:t>限</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50年</w:t>
      </w:r>
      <w:r>
        <w:rPr>
          <w:rFonts w:hint="eastAsia" w:ascii="仿宋_GB2312" w:hAnsi="仿宋_GB2312" w:eastAsia="仿宋_GB2312" w:cs="仿宋_GB2312"/>
          <w:sz w:val="32"/>
          <w:szCs w:val="32"/>
          <w:highlight w:val="none"/>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产业类型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专业产业园区运营、科技推广和应用服务业</w:t>
      </w:r>
      <w:r>
        <w:rPr>
          <w:rFonts w:hint="eastAsia" w:ascii="仿宋_GB2312" w:hAnsi="仿宋_GB2312" w:eastAsia="仿宋_GB2312" w:cs="仿宋_GB2312"/>
          <w:sz w:val="32"/>
          <w:szCs w:val="32"/>
          <w:highlight w:val="none"/>
          <w:lang w:val="en-US" w:eastAsia="zh-CN"/>
        </w:rPr>
        <w:t>用地</w:t>
      </w:r>
      <w:r>
        <w:rPr>
          <w:rFonts w:hint="eastAsia" w:ascii="仿宋_GB2312" w:hAnsi="仿宋_GB2312" w:eastAsia="仿宋_GB2312" w:cs="仿宋_GB2312"/>
          <w:sz w:val="32"/>
          <w:szCs w:val="32"/>
          <w:highlight w:val="none"/>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 动工及竣工时间：</w:t>
      </w:r>
      <w:r>
        <w:rPr>
          <w:rFonts w:hint="eastAsia" w:ascii="仿宋_GB2312" w:hAnsi="宋体" w:eastAsia="仿宋_GB2312" w:cs="宋体"/>
          <w:color w:val="auto"/>
          <w:kern w:val="0"/>
          <w:sz w:val="32"/>
          <w:szCs w:val="32"/>
          <w:highlight w:val="none"/>
        </w:rPr>
        <w:t>该地块动工时间为地块交付之日起一年内，竣工时间为土地交付之日起三年内（因不可抗拒因素除外）</w:t>
      </w:r>
      <w:r>
        <w:rPr>
          <w:rFonts w:hint="eastAsia" w:ascii="仿宋_GB2312" w:hAnsi="仿宋_GB2312" w:eastAsia="仿宋_GB2312" w:cs="仿宋_GB2312"/>
          <w:sz w:val="32"/>
          <w:szCs w:val="32"/>
          <w:highlight w:val="none"/>
        </w:rPr>
        <w:t>；</w:t>
      </w:r>
    </w:p>
    <w:p>
      <w:pPr>
        <w:shd w:val="clear"/>
        <w:tabs>
          <w:tab w:val="left" w:pos="3388"/>
        </w:tabs>
        <w:spacing w:line="560" w:lineRule="exact"/>
        <w:jc w:val="left"/>
        <w:rPr>
          <w:rFonts w:hint="eastAsia" w:ascii="Times New Roman" w:hAnsi="Times New Roman" w:eastAsia="仿宋_GB2312"/>
          <w:sz w:val="30"/>
          <w:szCs w:val="30"/>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 xml:space="preserve">）本地块交付时间为《国有土地使用权出让合同》签订之日。 </w:t>
      </w:r>
    </w:p>
    <w:p>
      <w:pPr>
        <w:shd w:val="clear"/>
        <w:tabs>
          <w:tab w:val="left" w:pos="3388"/>
        </w:tabs>
        <w:spacing w:line="560" w:lineRule="exact"/>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四、土地开发及使用规定</w:t>
      </w:r>
    </w:p>
    <w:p>
      <w:pPr>
        <w:shd w:val="clear"/>
        <w:spacing w:line="560" w:lineRule="exact"/>
        <w:ind w:firstLine="640" w:firstLineChars="200"/>
        <w:rPr>
          <w:rFonts w:hint="eastAsia" w:ascii="仿宋_GB2312" w:hAnsi="仿宋_GB2312" w:eastAsia="仿宋_GB2312" w:cs="仿宋_GB2312"/>
          <w:sz w:val="32"/>
          <w:szCs w:val="32"/>
          <w:highlight w:val="none"/>
          <w:lang w:eastAsia="zh-CN"/>
        </w:rPr>
      </w:pPr>
      <w:r>
        <w:rPr>
          <w:rFonts w:eastAsia="仿宋_GB2312"/>
          <w:sz w:val="32"/>
          <w:szCs w:val="32"/>
          <w:highlight w:val="none"/>
        </w:rPr>
        <w:t>（一）</w:t>
      </w:r>
      <w:r>
        <w:rPr>
          <w:rFonts w:hint="eastAsia" w:ascii="仿宋_GB2312" w:hAnsi="仿宋_GB2312" w:eastAsia="仿宋_GB2312" w:cs="仿宋_GB2312"/>
          <w:sz w:val="32"/>
          <w:szCs w:val="32"/>
          <w:highlight w:val="none"/>
          <w:lang w:eastAsia="zh-CN"/>
        </w:rPr>
        <w:t>开发投资总额不少于人民币</w:t>
      </w:r>
      <w:r>
        <w:rPr>
          <w:rFonts w:hint="eastAsia" w:ascii="仿宋_GB2312" w:hAnsi="仿宋_GB2312" w:eastAsia="仿宋_GB2312" w:cs="仿宋_GB2312"/>
          <w:sz w:val="32"/>
          <w:szCs w:val="32"/>
          <w:highlight w:val="none"/>
          <w:lang w:val="en-US" w:eastAsia="zh-CN"/>
        </w:rPr>
        <w:t>61113万元</w:t>
      </w:r>
      <w:r>
        <w:rPr>
          <w:rFonts w:hint="eastAsia" w:ascii="仿宋_GB2312" w:hAnsi="仿宋_GB2312" w:eastAsia="仿宋_GB2312" w:cs="仿宋_GB2312"/>
          <w:sz w:val="32"/>
          <w:szCs w:val="32"/>
          <w:highlight w:val="none"/>
          <w:lang w:eastAsia="zh-CN"/>
        </w:rPr>
        <w:t>（含地价）。</w:t>
      </w:r>
    </w:p>
    <w:p>
      <w:pPr>
        <w:shd w:val="clear"/>
        <w:spacing w:line="560" w:lineRule="exact"/>
        <w:ind w:firstLine="640" w:firstLineChars="200"/>
        <w:rPr>
          <w:rFonts w:hint="eastAsia" w:ascii="仿宋_GB2312" w:hAnsi="仿宋_GB2312" w:eastAsia="仿宋_GB2312" w:cs="仿宋_GB2312"/>
          <w:sz w:val="32"/>
          <w:szCs w:val="32"/>
          <w:highlight w:val="none"/>
          <w:lang w:eastAsia="zh-CN"/>
        </w:rPr>
      </w:pPr>
      <w:r>
        <w:rPr>
          <w:rFonts w:eastAsia="仿宋_GB2312"/>
          <w:sz w:val="32"/>
          <w:szCs w:val="32"/>
          <w:highlight w:val="none"/>
        </w:rPr>
        <w:t>（二）</w:t>
      </w:r>
      <w:r>
        <w:rPr>
          <w:rFonts w:hint="eastAsia" w:ascii="仿宋_GB2312" w:hAnsi="仿宋_GB2312" w:eastAsia="仿宋_GB2312" w:cs="仿宋_GB2312"/>
          <w:sz w:val="32"/>
          <w:szCs w:val="32"/>
          <w:highlight w:val="none"/>
          <w:lang w:eastAsia="zh-CN"/>
        </w:rPr>
        <w:t>土地成交价款须以人民币支付,竞得人在签订《出让合同》之日起30日内付清全部成交价款。</w:t>
      </w:r>
    </w:p>
    <w:p>
      <w:pPr>
        <w:shd w:val="clea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（三）竞得人在用地红线内开发建设必须符合城市规划要求，必须按</w:t>
      </w:r>
      <w:r>
        <w:rPr>
          <w:rFonts w:hint="eastAsia" w:ascii="仿宋_GB2312" w:hAnsi="宋体" w:eastAsia="仿宋_GB2312" w:cs="宋体"/>
          <w:color w:val="auto"/>
          <w:kern w:val="0"/>
          <w:sz w:val="32"/>
          <w:szCs w:val="32"/>
          <w:highlight w:val="none"/>
          <w:lang w:eastAsia="zh-CN"/>
        </w:rPr>
        <w:t>项目规划建设方案</w:t>
      </w:r>
      <w:r>
        <w:rPr>
          <w:rFonts w:hint="eastAsia" w:ascii="仿宋_GB2312" w:hAnsi="仿宋_GB2312" w:eastAsia="仿宋_GB2312" w:cs="仿宋_GB2312"/>
          <w:sz w:val="32"/>
          <w:szCs w:val="32"/>
          <w:highlight w:val="none"/>
          <w:lang w:eastAsia="zh-CN"/>
        </w:rPr>
        <w:t>的要求进行规划设计。</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（四）项目规划建设方案</w:t>
      </w:r>
    </w:p>
    <w:p>
      <w:pPr>
        <w:pStyle w:val="2"/>
        <w:pageBreakBefore w:val="0"/>
        <w:numPr>
          <w:ilvl w:val="0"/>
          <w:numId w:val="0"/>
        </w:numPr>
        <w:shd w:val="clea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default" w:ascii="仿宋_GB2312" w:hAnsi="宋体" w:eastAsia="仿宋_GB2312" w:cs="宋体"/>
          <w:color w:val="auto"/>
          <w:kern w:val="0"/>
          <w:sz w:val="32"/>
          <w:szCs w:val="32"/>
          <w:highlight w:val="none"/>
          <w:lang w:val="en-US" w:eastAsia="zh-CN" w:bidi="ar-SA"/>
        </w:rPr>
        <w:t>主要技术经济指标：规划布局9栋厂房，计算指标用地面积4074</w:t>
      </w:r>
      <w:r>
        <w:rPr>
          <w:rFonts w:hint="eastAsia" w:ascii="仿宋_GB2312" w:hAnsi="宋体" w:eastAsia="仿宋_GB2312" w:cs="宋体"/>
          <w:color w:val="auto"/>
          <w:kern w:val="0"/>
          <w:sz w:val="32"/>
          <w:szCs w:val="32"/>
          <w:highlight w:val="none"/>
          <w:lang w:val="en-US" w:eastAsia="zh-CN" w:bidi="ar-SA"/>
        </w:rPr>
        <w:t>1.49</w:t>
      </w:r>
      <w:r>
        <w:rPr>
          <w:rFonts w:hint="default" w:ascii="仿宋_GB2312" w:hAnsi="宋体" w:eastAsia="仿宋_GB2312" w:cs="宋体"/>
          <w:color w:val="auto"/>
          <w:kern w:val="0"/>
          <w:sz w:val="32"/>
          <w:szCs w:val="32"/>
          <w:highlight w:val="none"/>
          <w:lang w:val="en-US" w:eastAsia="zh-CN" w:bidi="ar-SA"/>
        </w:rPr>
        <w:t>平方米，建筑层数地上最高9层（建筑高度48.1米），计容积率建筑面积86952.8平方米，容积率2.13，基底面积18666.5平方米，建筑密度45.8%，绿地率15%，机动车停车位177个（全部地上），非机动车停车位435个。所报方案技术指标符合《规划设计条件告知书》（PB20200073）相关要求，须按程序进行公示，公示期未收到公众意见后则同意所报总平面图及单体建筑设计方案。排水须采用雨、污分流制，并预留市政管线接驳口，建筑设计须符合国家、省、市有关绿色建筑和建筑节能方面的技术规范和标准，须按海绵城市设计要求做好设计及施工。</w:t>
      </w:r>
      <w:r>
        <w:rPr>
          <w:rFonts w:hint="eastAsia" w:ascii="仿宋_GB2312" w:hAnsi="宋体" w:eastAsia="仿宋_GB2312" w:cs="宋体"/>
          <w:color w:val="auto"/>
          <w:kern w:val="0"/>
          <w:sz w:val="32"/>
          <w:szCs w:val="32"/>
          <w:highlight w:val="none"/>
          <w:lang w:val="en-US" w:eastAsia="zh-CN"/>
        </w:rPr>
        <w:t>本项目应按照《惠州市人民政府办公室关于大力发展装配式建筑的实施意见》（惠府办[2019]10号）的要求执行。</w:t>
      </w:r>
    </w:p>
    <w:p>
      <w:pPr>
        <w:pStyle w:val="2"/>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（五）招商条件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投资强度不低于</w:t>
      </w:r>
      <w:r>
        <w:rPr>
          <w:rFonts w:hint="eastAsia" w:ascii="仿宋_GB2312" w:hAnsi="宋体" w:eastAsia="仿宋_GB2312" w:cs="宋体"/>
          <w:color w:val="auto"/>
          <w:kern w:val="0"/>
          <w:sz w:val="32"/>
          <w:szCs w:val="32"/>
          <w:highlight w:val="none"/>
          <w:lang w:val="en-US" w:eastAsia="zh-CN"/>
        </w:rPr>
        <w:t>15000元</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平方米</w:t>
      </w:r>
      <w:r>
        <w:rPr>
          <w:rFonts w:hint="eastAsia" w:ascii="仿宋_GB2312" w:hAnsi="宋体" w:eastAsia="仿宋_GB2312" w:cs="宋体"/>
          <w:color w:val="auto"/>
          <w:kern w:val="0"/>
          <w:sz w:val="32"/>
          <w:szCs w:val="32"/>
          <w:highlight w:val="none"/>
        </w:rPr>
        <w:t>，土地产出率（营业收入）不低于</w:t>
      </w:r>
      <w:r>
        <w:rPr>
          <w:rFonts w:hint="eastAsia" w:ascii="仿宋_GB2312" w:hAnsi="宋体" w:eastAsia="仿宋_GB2312" w:cs="宋体"/>
          <w:color w:val="auto"/>
          <w:kern w:val="0"/>
          <w:sz w:val="32"/>
          <w:szCs w:val="32"/>
          <w:highlight w:val="none"/>
          <w:lang w:val="en-US" w:eastAsia="zh-CN"/>
        </w:rPr>
        <w:t>20000</w:t>
      </w:r>
      <w:r>
        <w:rPr>
          <w:rFonts w:hint="eastAsia" w:ascii="仿宋_GB2312" w:hAnsi="宋体" w:eastAsia="仿宋_GB2312" w:cs="宋体"/>
          <w:color w:val="auto"/>
          <w:kern w:val="0"/>
          <w:sz w:val="32"/>
          <w:szCs w:val="32"/>
          <w:highlight w:val="none"/>
        </w:rPr>
        <w:t>元/</w:t>
      </w:r>
      <w:r>
        <w:rPr>
          <w:rFonts w:hint="eastAsia" w:ascii="仿宋_GB2312" w:hAnsi="宋体" w:eastAsia="仿宋_GB2312" w:cs="宋体"/>
          <w:color w:val="auto"/>
          <w:kern w:val="0"/>
          <w:sz w:val="32"/>
          <w:szCs w:val="32"/>
          <w:highlight w:val="none"/>
          <w:lang w:eastAsia="zh-CN"/>
        </w:rPr>
        <w:t>平方米</w:t>
      </w:r>
      <w:r>
        <w:rPr>
          <w:rFonts w:hint="eastAsia" w:ascii="仿宋_GB2312" w:hAnsi="宋体" w:eastAsia="仿宋_GB2312" w:cs="宋体"/>
          <w:color w:val="auto"/>
          <w:kern w:val="0"/>
          <w:sz w:val="32"/>
          <w:szCs w:val="32"/>
          <w:highlight w:val="none"/>
        </w:rPr>
        <w:t>/年，税收产出不低于</w:t>
      </w:r>
      <w:r>
        <w:rPr>
          <w:rFonts w:hint="eastAsia" w:ascii="仿宋_GB2312" w:hAnsi="宋体" w:eastAsia="仿宋_GB2312" w:cs="宋体"/>
          <w:color w:val="auto"/>
          <w:kern w:val="0"/>
          <w:sz w:val="32"/>
          <w:szCs w:val="32"/>
          <w:highlight w:val="none"/>
          <w:lang w:val="en-US" w:eastAsia="zh-CN"/>
        </w:rPr>
        <w:t>1200</w:t>
      </w:r>
      <w:r>
        <w:rPr>
          <w:rFonts w:hint="eastAsia" w:ascii="仿宋_GB2312" w:hAnsi="宋体" w:eastAsia="仿宋_GB2312" w:cs="宋体"/>
          <w:color w:val="auto"/>
          <w:kern w:val="0"/>
          <w:sz w:val="32"/>
          <w:szCs w:val="32"/>
          <w:highlight w:val="none"/>
          <w:lang w:eastAsia="zh-CN"/>
        </w:rPr>
        <w:t>元</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平方米</w:t>
      </w:r>
      <w:r>
        <w:rPr>
          <w:rFonts w:hint="eastAsia" w:ascii="仿宋_GB2312" w:hAnsi="宋体" w:eastAsia="仿宋_GB2312" w:cs="宋体"/>
          <w:color w:val="auto"/>
          <w:kern w:val="0"/>
          <w:sz w:val="32"/>
          <w:szCs w:val="32"/>
          <w:highlight w:val="none"/>
        </w:rPr>
        <w:t>/年。其中，土地产出率及税收产出</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在项目投产后</w:t>
      </w:r>
      <w:r>
        <w:rPr>
          <w:rFonts w:hint="eastAsia" w:ascii="仿宋_GB2312" w:hAnsi="宋体" w:eastAsia="仿宋_GB2312" w:cs="宋体"/>
          <w:color w:val="auto"/>
          <w:kern w:val="0"/>
          <w:sz w:val="32"/>
          <w:szCs w:val="32"/>
          <w:highlight w:val="none"/>
          <w:lang w:val="en-US" w:eastAsia="zh-CN"/>
        </w:rPr>
        <w:t>3年内逐年</w:t>
      </w:r>
      <w:r>
        <w:rPr>
          <w:rFonts w:hint="eastAsia" w:ascii="仿宋_GB2312" w:hAnsi="宋体" w:eastAsia="仿宋_GB2312" w:cs="宋体"/>
          <w:color w:val="auto"/>
          <w:kern w:val="0"/>
          <w:sz w:val="32"/>
          <w:szCs w:val="32"/>
          <w:highlight w:val="none"/>
        </w:rPr>
        <w:t>考核，</w:t>
      </w:r>
      <w:r>
        <w:rPr>
          <w:rFonts w:hint="eastAsia" w:ascii="仿宋_GB2312" w:hAnsi="宋体" w:eastAsia="仿宋_GB2312" w:cs="宋体"/>
          <w:color w:val="auto"/>
          <w:kern w:val="0"/>
          <w:sz w:val="32"/>
          <w:szCs w:val="32"/>
          <w:highlight w:val="none"/>
          <w:lang w:val="en-US" w:eastAsia="zh-CN"/>
        </w:rPr>
        <w:t>3年内的</w:t>
      </w:r>
      <w:r>
        <w:rPr>
          <w:rFonts w:hint="eastAsia" w:ascii="仿宋_GB2312" w:hAnsi="宋体" w:eastAsia="仿宋_GB2312" w:cs="宋体"/>
          <w:color w:val="auto"/>
          <w:kern w:val="0"/>
          <w:sz w:val="32"/>
          <w:szCs w:val="32"/>
          <w:highlight w:val="none"/>
        </w:rPr>
        <w:t>平均值不得低于上述标准。</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w:t>
      </w:r>
      <w:r>
        <w:rPr>
          <w:rFonts w:hint="eastAsia" w:ascii="仿宋_GB2312" w:hAnsi="宋体" w:eastAsia="仿宋_GB2312" w:cs="宋体"/>
          <w:color w:val="auto"/>
          <w:kern w:val="0"/>
          <w:sz w:val="32"/>
          <w:szCs w:val="32"/>
          <w:highlight w:val="none"/>
          <w:lang w:val="en-US" w:eastAsia="zh-CN"/>
        </w:rPr>
        <w:t>向自然资源部门申请，经</w:t>
      </w:r>
      <w:r>
        <w:rPr>
          <w:rFonts w:hint="eastAsia" w:ascii="仿宋_GB2312" w:hAnsi="宋体" w:eastAsia="仿宋_GB2312" w:cs="宋体"/>
          <w:color w:val="auto"/>
          <w:kern w:val="0"/>
          <w:sz w:val="32"/>
          <w:szCs w:val="32"/>
          <w:highlight w:val="none"/>
        </w:rPr>
        <w:t>惠城区人民政府</w:t>
      </w:r>
      <w:r>
        <w:rPr>
          <w:rFonts w:hint="eastAsia" w:ascii="仿宋_GB2312" w:hAnsi="宋体" w:eastAsia="仿宋_GB2312" w:cs="宋体"/>
          <w:color w:val="auto"/>
          <w:kern w:val="0"/>
          <w:sz w:val="32"/>
          <w:szCs w:val="32"/>
          <w:highlight w:val="none"/>
          <w:lang w:val="en-US" w:eastAsia="zh-CN"/>
        </w:rPr>
        <w:t>备案</w:t>
      </w:r>
      <w:r>
        <w:rPr>
          <w:rFonts w:hint="eastAsia" w:ascii="仿宋_GB2312" w:hAnsi="宋体" w:eastAsia="仿宋_GB2312" w:cs="宋体"/>
          <w:color w:val="auto"/>
          <w:kern w:val="0"/>
          <w:sz w:val="32"/>
          <w:szCs w:val="32"/>
          <w:highlight w:val="none"/>
        </w:rPr>
        <w:t>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keepNext w:val="0"/>
        <w:keepLines w:val="0"/>
        <w:pageBreakBefore w:val="0"/>
        <w:widowControl w:val="0"/>
        <w:numPr>
          <w:ilvl w:val="0"/>
          <w:numId w:val="1"/>
        </w:numPr>
        <w:shd w:val="clear"/>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竞得人在签订《成交确认书》前，须与</w:t>
      </w:r>
      <w:r>
        <w:rPr>
          <w:rFonts w:hint="eastAsia" w:ascii="仿宋_GB2312" w:hAnsi="宋体" w:eastAsia="仿宋_GB2312" w:cs="宋体"/>
          <w:color w:val="auto"/>
          <w:kern w:val="0"/>
          <w:sz w:val="32"/>
          <w:szCs w:val="32"/>
          <w:highlight w:val="none"/>
          <w:lang w:val="en-US" w:eastAsia="zh-CN"/>
        </w:rPr>
        <w:t>惠城区高新科技产业园管委会</w:t>
      </w:r>
      <w:r>
        <w:rPr>
          <w:rFonts w:hint="eastAsia" w:ascii="仿宋_GB2312" w:hAnsi="宋体" w:eastAsia="仿宋_GB2312" w:cs="宋体"/>
          <w:color w:val="auto"/>
          <w:kern w:val="0"/>
          <w:sz w:val="32"/>
          <w:szCs w:val="32"/>
          <w:highlight w:val="none"/>
        </w:rPr>
        <w:t>签订《惠城区工业项目</w:t>
      </w:r>
      <w:r>
        <w:rPr>
          <w:rFonts w:hint="eastAsia" w:ascii="仿宋_GB2312" w:hAnsi="宋体" w:eastAsia="仿宋_GB2312" w:cs="宋体"/>
          <w:color w:val="auto"/>
          <w:kern w:val="0"/>
          <w:sz w:val="32"/>
          <w:szCs w:val="32"/>
          <w:highlight w:val="none"/>
          <w:lang w:val="en-US" w:eastAsia="zh-CN"/>
        </w:rPr>
        <w:t>实施</w:t>
      </w:r>
      <w:r>
        <w:rPr>
          <w:rFonts w:hint="eastAsia" w:ascii="仿宋_GB2312" w:hAnsi="宋体" w:eastAsia="仿宋_GB2312" w:cs="宋体"/>
          <w:color w:val="auto"/>
          <w:kern w:val="0"/>
          <w:sz w:val="32"/>
          <w:szCs w:val="32"/>
          <w:highlight w:val="none"/>
        </w:rPr>
        <w:t>监管协议书》，并由</w:t>
      </w:r>
      <w:r>
        <w:rPr>
          <w:rFonts w:hint="eastAsia" w:ascii="仿宋_GB2312" w:hAnsi="宋体" w:eastAsia="仿宋_GB2312" w:cs="宋体"/>
          <w:color w:val="auto"/>
          <w:kern w:val="0"/>
          <w:sz w:val="32"/>
          <w:szCs w:val="32"/>
          <w:highlight w:val="none"/>
          <w:lang w:val="en-US" w:eastAsia="zh-CN"/>
        </w:rPr>
        <w:t>惠城区高新科技产业园管委会</w:t>
      </w:r>
      <w:r>
        <w:rPr>
          <w:rFonts w:hint="eastAsia" w:ascii="仿宋_GB2312" w:hAnsi="宋体" w:eastAsia="仿宋_GB2312" w:cs="宋体"/>
          <w:color w:val="auto"/>
          <w:kern w:val="0"/>
          <w:sz w:val="32"/>
          <w:szCs w:val="32"/>
          <w:highlight w:val="none"/>
        </w:rPr>
        <w:t>对项目用地实施批后监管。</w:t>
      </w:r>
    </w:p>
    <w:p>
      <w:pPr>
        <w:keepNext w:val="0"/>
        <w:keepLines w:val="0"/>
        <w:pageBreakBefore w:val="0"/>
        <w:widowControl w:val="0"/>
        <w:numPr>
          <w:ilvl w:val="0"/>
          <w:numId w:val="1"/>
        </w:numPr>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约定条件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highlight w:val="none"/>
          <w:lang w:eastAsia="zh-CN"/>
        </w:rPr>
      </w:pPr>
      <w:r>
        <w:rPr>
          <w:rFonts w:hint="eastAsia" w:ascii="仿宋_GB2312" w:hAnsi="仿宋_GB2312" w:eastAsia="仿宋_GB2312" w:cs="仿宋_GB2312"/>
          <w:b w:val="0"/>
          <w:bCs w:val="0"/>
          <w:color w:val="000000"/>
          <w:kern w:val="0"/>
          <w:sz w:val="32"/>
          <w:szCs w:val="32"/>
          <w:highlight w:val="none"/>
        </w:rPr>
        <w:t>竞得人需</w:t>
      </w:r>
      <w:r>
        <w:rPr>
          <w:rFonts w:hint="eastAsia" w:ascii="仿宋_GB2312" w:hAnsi="仿宋_GB2312" w:eastAsia="仿宋_GB2312" w:cs="仿宋_GB2312"/>
          <w:b w:val="0"/>
          <w:bCs w:val="0"/>
          <w:color w:val="000000"/>
          <w:kern w:val="0"/>
          <w:sz w:val="32"/>
          <w:szCs w:val="32"/>
          <w:highlight w:val="none"/>
          <w:lang w:val="en-US" w:eastAsia="zh-CN"/>
        </w:rPr>
        <w:t>按照供电设计相关规范要求，在地块内</w:t>
      </w:r>
      <w:r>
        <w:rPr>
          <w:rFonts w:hint="eastAsia" w:ascii="仿宋_GB2312" w:hAnsi="仿宋_GB2312" w:eastAsia="仿宋_GB2312" w:cs="仿宋_GB2312"/>
          <w:b w:val="0"/>
          <w:bCs w:val="0"/>
          <w:color w:val="000000"/>
          <w:kern w:val="0"/>
          <w:sz w:val="32"/>
          <w:szCs w:val="32"/>
          <w:highlight w:val="none"/>
          <w:lang w:eastAsia="zh-CN"/>
        </w:rPr>
        <w:t>承担建筑</w:t>
      </w:r>
      <w:r>
        <w:rPr>
          <w:rFonts w:hint="eastAsia" w:ascii="仿宋_GB2312" w:hAnsi="仿宋_GB2312" w:eastAsia="仿宋_GB2312" w:cs="仿宋_GB2312"/>
          <w:b w:val="0"/>
          <w:bCs w:val="0"/>
          <w:color w:val="000000"/>
          <w:kern w:val="0"/>
          <w:sz w:val="32"/>
          <w:szCs w:val="32"/>
          <w:highlight w:val="none"/>
          <w:lang w:val="en-US" w:eastAsia="zh-CN"/>
        </w:rPr>
        <w:t>一个</w:t>
      </w:r>
      <w:r>
        <w:rPr>
          <w:rFonts w:hint="eastAsia" w:ascii="仿宋_GB2312" w:hAnsi="仿宋_GB2312" w:eastAsia="仿宋_GB2312" w:cs="仿宋_GB2312"/>
          <w:b w:val="0"/>
          <w:bCs w:val="0"/>
          <w:color w:val="000000"/>
          <w:kern w:val="0"/>
          <w:sz w:val="32"/>
          <w:szCs w:val="32"/>
          <w:highlight w:val="none"/>
          <w:lang w:eastAsia="zh-CN"/>
        </w:rPr>
        <w:t>面积≥</w:t>
      </w:r>
      <w:r>
        <w:rPr>
          <w:rFonts w:hint="eastAsia" w:ascii="仿宋_GB2312" w:hAnsi="仿宋_GB2312" w:eastAsia="仿宋_GB2312" w:cs="仿宋_GB2312"/>
          <w:b w:val="0"/>
          <w:bCs w:val="0"/>
          <w:color w:val="000000"/>
          <w:kern w:val="0"/>
          <w:sz w:val="32"/>
          <w:szCs w:val="32"/>
          <w:highlight w:val="none"/>
          <w:lang w:val="en-US" w:eastAsia="zh-CN"/>
        </w:rPr>
        <w:t>60㎡、建筑占地面积≥60㎡的园区供电开关站配套用房，建成后无偿移交给惠城区政府相关部门使用。</w:t>
      </w:r>
    </w:p>
    <w:p>
      <w:pPr>
        <w:shd w:val="clear"/>
        <w:tabs>
          <w:tab w:val="left" w:pos="3388"/>
        </w:tabs>
        <w:spacing w:line="560" w:lineRule="exact"/>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五、竞买资格及要求</w:t>
      </w:r>
    </w:p>
    <w:p>
      <w:pPr>
        <w:shd w:val="clear"/>
        <w:tabs>
          <w:tab w:val="left" w:pos="3388"/>
        </w:tabs>
        <w:spacing w:line="56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中华人民共和国境内外的法人和其他组织（除法律法规另有规定外），均可申请参加竞买。申请人可以单独申请，也可以联合申请。申请人还应具备下列条件：</w:t>
      </w:r>
    </w:p>
    <w:p>
      <w:pPr>
        <w:shd w:val="clear"/>
        <w:tabs>
          <w:tab w:val="left" w:pos="3388"/>
        </w:tabs>
        <w:spacing w:line="560" w:lineRule="exact"/>
        <w:ind w:firstLine="480" w:firstLineChars="15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（一）按时足额交纳竞买保证金</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竞买人缴交的竞买保证金为人民币</w:t>
      </w:r>
      <w:r>
        <w:rPr>
          <w:rFonts w:hint="eastAsia" w:ascii="仿宋_GB2312" w:hAnsi="仿宋_GB2312" w:eastAsia="仿宋_GB2312" w:cs="仿宋_GB2312"/>
          <w:kern w:val="0"/>
          <w:sz w:val="32"/>
          <w:szCs w:val="32"/>
          <w:highlight w:val="none"/>
          <w:lang w:val="en-US" w:eastAsia="zh-CN"/>
        </w:rPr>
        <w:t>1200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kern w:val="0"/>
          <w:sz w:val="32"/>
          <w:szCs w:val="32"/>
          <w:highlight w:val="none"/>
        </w:rPr>
        <w:t>。</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val="en-US" w:eastAsia="zh-CN"/>
        </w:rPr>
        <w:t>二</w:t>
      </w:r>
      <w:r>
        <w:rPr>
          <w:rFonts w:hint="eastAsia" w:ascii="仿宋_GB2312" w:hAnsi="仿宋_GB2312" w:eastAsia="仿宋_GB2312" w:cs="仿宋_GB2312"/>
          <w:kern w:val="0"/>
          <w:sz w:val="32"/>
          <w:szCs w:val="32"/>
          <w:highlight w:val="none"/>
        </w:rPr>
        <w:t>）预先办理数字证书。本次国有建设用地使用权网</w:t>
      </w:r>
      <w:r>
        <w:rPr>
          <w:rFonts w:hint="eastAsia" w:ascii="仿宋_GB2312" w:hAnsi="仿宋_GB2312" w:eastAsia="仿宋_GB2312" w:cs="仿宋_GB2312"/>
          <w:sz w:val="32"/>
          <w:szCs w:val="32"/>
          <w:highlight w:val="none"/>
        </w:rPr>
        <w:t>上挂牌出让只能在互联网上，通过惠州市公共资源交易中心土地与矿业网上挂牌交易系统（</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，以下简称“网上挂牌交易系统”）进行。只有通过网上注册、办理数字证书、按要求足额交付竞买保证金的申请人，才能参加网上挂牌交易活动。</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w:t>
      </w:r>
      <w:r>
        <w:rPr>
          <w:rFonts w:hint="eastAsia" w:ascii="仿宋_GB2312" w:hAnsi="宋体" w:eastAsia="仿宋_GB2312" w:cs="宋体"/>
          <w:color w:val="auto"/>
          <w:kern w:val="0"/>
          <w:sz w:val="32"/>
          <w:szCs w:val="32"/>
          <w:highlight w:val="none"/>
          <w:lang w:val="en-US" w:eastAsia="zh-CN" w:bidi="ar-SA"/>
        </w:rPr>
        <w:t>存在下列违法违规违约行为之一的企业及其控股股东，不得参与竞买上述地块</w:t>
      </w:r>
      <w:r>
        <w:rPr>
          <w:rFonts w:hint="eastAsia" w:ascii="仿宋_GB2312" w:hAnsi="仿宋_GB2312" w:eastAsia="仿宋_GB2312" w:cs="仿宋_GB2312"/>
          <w:sz w:val="32"/>
          <w:szCs w:val="32"/>
          <w:highlight w:val="none"/>
        </w:rPr>
        <w:t>：</w:t>
      </w:r>
    </w:p>
    <w:p>
      <w:pPr>
        <w:keepNext w:val="0"/>
        <w:keepLines w:val="0"/>
        <w:pageBreakBefore w:val="0"/>
        <w:widowControl w:val="0"/>
        <w:shd w:val="clear"/>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1、存在伪造公文骗取用地和非法倒卖土地等犯罪行为的；</w:t>
      </w:r>
    </w:p>
    <w:p>
      <w:pPr>
        <w:keepNext w:val="0"/>
        <w:keepLines w:val="0"/>
        <w:pageBreakBefore w:val="0"/>
        <w:widowControl w:val="0"/>
        <w:shd w:val="clear"/>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2、存在非法转让土地使用权等违法行为的；</w:t>
      </w:r>
    </w:p>
    <w:p>
      <w:pPr>
        <w:keepNext w:val="0"/>
        <w:keepLines w:val="0"/>
        <w:pageBreakBefore w:val="0"/>
        <w:widowControl w:val="0"/>
        <w:shd w:val="clear"/>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3、因企业原因造成土地闲置一年以上且至报名日止未处罚完结的；</w:t>
      </w:r>
    </w:p>
    <w:p>
      <w:pPr>
        <w:keepNext w:val="0"/>
        <w:keepLines w:val="0"/>
        <w:pageBreakBefore w:val="0"/>
        <w:widowControl w:val="0"/>
        <w:shd w:val="clear"/>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4、开发建设企业有违背出让合同约定条件开发利用土地情形且至报名日止未处罚完结的；</w:t>
      </w:r>
    </w:p>
    <w:p>
      <w:pPr>
        <w:keepNext w:val="0"/>
        <w:keepLines w:val="0"/>
        <w:pageBreakBefore w:val="0"/>
        <w:widowControl w:val="0"/>
        <w:shd w:val="clear"/>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5、至报名日止仍拖欠政府地价款的。</w:t>
      </w:r>
    </w:p>
    <w:p>
      <w:pPr>
        <w:shd w:val="clear"/>
        <w:tabs>
          <w:tab w:val="left" w:pos="3388"/>
        </w:tabs>
        <w:spacing w:line="560" w:lineRule="exact"/>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六、违约及处理</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竞得人有下列行为之一的，视为违约，取消竞得人资格，</w:t>
      </w:r>
      <w:r>
        <w:rPr>
          <w:rFonts w:hint="eastAsia" w:ascii="仿宋_GB2312" w:hAnsi="仿宋_GB2312" w:eastAsia="仿宋_GB2312" w:cs="仿宋_GB2312"/>
          <w:sz w:val="32"/>
          <w:szCs w:val="32"/>
          <w:highlight w:val="none"/>
          <w:lang w:val="en-US" w:eastAsia="zh-CN"/>
        </w:rPr>
        <w:t>定金不予退还,</w:t>
      </w:r>
      <w:r>
        <w:rPr>
          <w:rFonts w:hint="eastAsia" w:ascii="仿宋_GB2312" w:hAnsi="仿宋_GB2312" w:eastAsia="仿宋_GB2312" w:cs="仿宋_GB2312"/>
          <w:sz w:val="32"/>
          <w:szCs w:val="32"/>
          <w:highlight w:val="none"/>
        </w:rPr>
        <w:t>并由有关部门依法处理;造成损失的，竞得人还应依法承担赔偿责任：</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（一）不符合竞买资格条件的。</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（二）采取行贿、恶意串通等非法手段竞得的。</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（三）竞得人以其他非法手段竞得的。</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（四）竞得人逾期或拒绝签订《成交确认书》的。</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（五）竞得人逾期或拒绝签订《出让合同》的。</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（六）不按本须知规定提供有关纸质文件材料，或提供虚假文件材料、隐瞒重要事实，引起交易纠纷的。</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（七）构成违约责任的其他行为。</w:t>
      </w:r>
    </w:p>
    <w:p>
      <w:pPr>
        <w:shd w:val="clear"/>
        <w:tabs>
          <w:tab w:val="left" w:pos="3388"/>
        </w:tabs>
        <w:spacing w:line="560" w:lineRule="exact"/>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七、网上挂牌出让地块的起始价、增加幅度</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挂牌起始价为人民币</w:t>
      </w:r>
      <w:r>
        <w:rPr>
          <w:rFonts w:hint="eastAsia" w:ascii="仿宋_GB2312" w:hAnsi="仿宋_GB2312" w:eastAsia="仿宋_GB2312" w:cs="仿宋_GB2312"/>
          <w:color w:val="auto"/>
          <w:sz w:val="32"/>
          <w:szCs w:val="32"/>
          <w:highlight w:val="none"/>
          <w:u w:val="single"/>
          <w:lang w:val="en-US" w:eastAsia="zh-CN"/>
        </w:rPr>
        <w:t>肆仟</w:t>
      </w:r>
      <w:r>
        <w:rPr>
          <w:rFonts w:hint="eastAsia" w:ascii="仿宋_GB2312" w:hAnsi="仿宋_GB2312" w:eastAsia="仿宋_GB2312" w:cs="仿宋_GB2312"/>
          <w:color w:val="auto"/>
          <w:sz w:val="32"/>
          <w:szCs w:val="32"/>
          <w:highlight w:val="none"/>
          <w:u w:val="single"/>
        </w:rPr>
        <w:t>万元整</w:t>
      </w:r>
      <w:r>
        <w:rPr>
          <w:rFonts w:hint="eastAsia" w:ascii="仿宋_GB2312" w:hAnsi="仿宋_GB2312" w:eastAsia="仿宋_GB2312" w:cs="仿宋_GB2312"/>
          <w:color w:val="auto"/>
          <w:sz w:val="32"/>
          <w:szCs w:val="32"/>
          <w:highlight w:val="none"/>
        </w:rPr>
        <w:t>（大写）（￥</w:t>
      </w:r>
      <w:r>
        <w:rPr>
          <w:rFonts w:hint="eastAsia" w:ascii="仿宋_GB2312" w:hAnsi="仿宋_GB2312" w:eastAsia="仿宋_GB2312" w:cs="仿宋_GB2312"/>
          <w:color w:val="auto"/>
          <w:sz w:val="32"/>
          <w:szCs w:val="32"/>
          <w:highlight w:val="none"/>
          <w:u w:val="single"/>
          <w:lang w:val="en-US" w:eastAsia="zh-CN"/>
        </w:rPr>
        <w:t>4000</w:t>
      </w:r>
      <w:r>
        <w:rPr>
          <w:rFonts w:hint="eastAsia" w:ascii="仿宋_GB2312" w:hAnsi="仿宋_GB2312" w:eastAsia="仿宋_GB2312" w:cs="仿宋_GB2312"/>
          <w:color w:val="auto"/>
          <w:sz w:val="32"/>
          <w:szCs w:val="32"/>
          <w:highlight w:val="none"/>
          <w:u w:val="single"/>
        </w:rPr>
        <w:t>万元</w:t>
      </w:r>
      <w:r>
        <w:rPr>
          <w:rFonts w:hint="eastAsia" w:ascii="仿宋_GB2312" w:hAnsi="仿宋_GB2312" w:eastAsia="仿宋_GB2312" w:cs="仿宋_GB2312"/>
          <w:color w:val="auto"/>
          <w:sz w:val="32"/>
          <w:szCs w:val="32"/>
          <w:highlight w:val="none"/>
        </w:rPr>
        <w:t>）,增价幅度为人民币</w:t>
      </w:r>
      <w:r>
        <w:rPr>
          <w:rFonts w:hint="eastAsia" w:ascii="仿宋_GB2312" w:hAnsi="仿宋_GB2312" w:eastAsia="仿宋_GB2312" w:cs="仿宋_GB2312"/>
          <w:color w:val="auto"/>
          <w:sz w:val="32"/>
          <w:szCs w:val="32"/>
          <w:highlight w:val="none"/>
          <w:u w:val="single"/>
          <w:lang w:val="en-US" w:eastAsia="zh-CN"/>
        </w:rPr>
        <w:t>伍拾</w:t>
      </w:r>
      <w:r>
        <w:rPr>
          <w:rFonts w:hint="eastAsia" w:ascii="仿宋_GB2312" w:hAnsi="仿宋_GB2312" w:eastAsia="仿宋_GB2312" w:cs="仿宋_GB2312"/>
          <w:color w:val="auto"/>
          <w:sz w:val="32"/>
          <w:szCs w:val="32"/>
          <w:highlight w:val="none"/>
          <w:u w:val="single"/>
        </w:rPr>
        <w:t>万元</w:t>
      </w:r>
      <w:r>
        <w:rPr>
          <w:rFonts w:hint="eastAsia" w:ascii="仿宋_GB2312" w:hAnsi="仿宋_GB2312" w:eastAsia="仿宋_GB2312" w:cs="仿宋_GB2312"/>
          <w:color w:val="auto"/>
          <w:sz w:val="32"/>
          <w:szCs w:val="32"/>
          <w:highlight w:val="none"/>
        </w:rPr>
        <w:t>（大写）（￥</w:t>
      </w:r>
      <w:r>
        <w:rPr>
          <w:rFonts w:hint="eastAsia" w:ascii="仿宋_GB2312" w:hAnsi="仿宋_GB2312" w:eastAsia="仿宋_GB2312" w:cs="仿宋_GB2312"/>
          <w:color w:val="auto"/>
          <w:sz w:val="32"/>
          <w:szCs w:val="32"/>
          <w:highlight w:val="none"/>
          <w:u w:val="single"/>
          <w:lang w:val="en-US" w:eastAsia="zh-CN"/>
        </w:rPr>
        <w:t>5</w:t>
      </w:r>
      <w:r>
        <w:rPr>
          <w:rFonts w:hint="eastAsia" w:ascii="仿宋_GB2312" w:hAnsi="仿宋_GB2312" w:eastAsia="仿宋_GB2312" w:cs="仿宋_GB2312"/>
          <w:color w:val="auto"/>
          <w:sz w:val="32"/>
          <w:szCs w:val="32"/>
          <w:highlight w:val="none"/>
          <w:u w:val="single"/>
        </w:rPr>
        <w:t>0</w:t>
      </w:r>
      <w:r>
        <w:rPr>
          <w:rFonts w:hint="eastAsia" w:ascii="仿宋_GB2312" w:hAnsi="仿宋_GB2312" w:eastAsia="仿宋_GB2312" w:cs="仿宋_GB2312"/>
          <w:color w:val="auto"/>
          <w:sz w:val="32"/>
          <w:szCs w:val="32"/>
          <w:highlight w:val="none"/>
        </w:rPr>
        <w:t>万元）。</w:t>
      </w:r>
    </w:p>
    <w:p>
      <w:pPr>
        <w:shd w:val="clear"/>
        <w:tabs>
          <w:tab w:val="left" w:pos="3388"/>
        </w:tabs>
        <w:spacing w:line="560" w:lineRule="exact"/>
        <w:jc w:val="left"/>
        <w:rPr>
          <w:rFonts w:ascii="仿宋_GB2312" w:hAnsi="仿宋_GB2312" w:eastAsia="仿宋_GB2312" w:cs="仿宋_GB2312"/>
          <w:b/>
          <w:bCs/>
          <w:sz w:val="32"/>
          <w:szCs w:val="32"/>
          <w:highlight w:val="none"/>
        </w:rPr>
      </w:pPr>
      <w:bookmarkStart w:id="3" w:name="104"/>
      <w:r>
        <w:rPr>
          <w:rFonts w:hint="eastAsia" w:ascii="仿宋_GB2312" w:hAnsi="仿宋_GB2312" w:eastAsia="仿宋_GB2312" w:cs="仿宋_GB2312"/>
          <w:b/>
          <w:bCs/>
          <w:sz w:val="32"/>
          <w:szCs w:val="32"/>
          <w:highlight w:val="none"/>
        </w:rPr>
        <w:t>八、</w:t>
      </w:r>
      <w:bookmarkEnd w:id="3"/>
      <w:r>
        <w:rPr>
          <w:rFonts w:hint="eastAsia" w:ascii="仿宋_GB2312" w:hAnsi="仿宋_GB2312" w:eastAsia="仿宋_GB2312" w:cs="仿宋_GB2312"/>
          <w:b/>
          <w:bCs/>
          <w:sz w:val="32"/>
          <w:szCs w:val="32"/>
          <w:highlight w:val="none"/>
        </w:rPr>
        <w:t>本次网上挂牌出让活动有关时间</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（一）网上挂牌起始时间：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highlight w:val="none"/>
        </w:rPr>
        <w:t>9时。</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（二）网上挂牌截止时间：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highlight w:val="none"/>
        </w:rPr>
        <w:t>10时。</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（三）网上挂牌交纳保证金截止时间：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highlight w:val="none"/>
        </w:rPr>
        <w:t>9时。</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九、挂牌文件获取</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挂牌出让地块现状图；</w:t>
      </w:r>
    </w:p>
    <w:p>
      <w:pPr>
        <w:shd w:val="clear"/>
        <w:tabs>
          <w:tab w:val="left" w:pos="3388"/>
        </w:tabs>
        <w:spacing w:line="560" w:lineRule="exact"/>
        <w:ind w:firstLine="640"/>
        <w:jc w:val="left"/>
        <w:rPr>
          <w:rFonts w:hint="default" w:eastAsia="仿宋_GB2312"/>
          <w:highlight w:val="none"/>
          <w:lang w:val="en-US" w:eastAsia="zh-CN"/>
        </w:rPr>
      </w:pPr>
      <w:r>
        <w:rPr>
          <w:rFonts w:hint="eastAsia" w:ascii="仿宋_GB2312" w:hAnsi="仿宋_GB2312" w:eastAsia="仿宋_GB2312" w:cs="仿宋_GB2312"/>
          <w:sz w:val="32"/>
          <w:szCs w:val="32"/>
          <w:highlight w:val="none"/>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5、《建设用地规划设计条件》（PB20200073）</w:t>
      </w:r>
      <w:r>
        <w:rPr>
          <w:rFonts w:hint="eastAsia" w:ascii="仿宋_GB2312" w:hAnsi="仿宋_GB2312" w:eastAsia="仿宋_GB2312" w:cs="仿宋_GB2312"/>
          <w:sz w:val="32"/>
          <w:szCs w:val="32"/>
          <w:highlight w:val="none"/>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惠州市</w:t>
      </w:r>
      <w:r>
        <w:rPr>
          <w:rFonts w:hint="eastAsia" w:ascii="仿宋_GB2312" w:hAnsi="仿宋_GB2312" w:eastAsia="仿宋_GB2312" w:cs="仿宋_GB2312"/>
          <w:sz w:val="32"/>
          <w:szCs w:val="32"/>
          <w:highlight w:val="none"/>
          <w:lang w:val="en-US" w:eastAsia="zh-CN"/>
        </w:rPr>
        <w:t>国有建设用地使用权电子挂牌</w:t>
      </w:r>
      <w:r>
        <w:rPr>
          <w:rFonts w:hint="eastAsia" w:ascii="仿宋_GB2312" w:hAnsi="仿宋_GB2312" w:eastAsia="仿宋_GB2312" w:cs="仿宋_GB2312"/>
          <w:sz w:val="32"/>
          <w:szCs w:val="32"/>
          <w:highlight w:val="none"/>
        </w:rPr>
        <w:t>交易成交</w:t>
      </w:r>
      <w:r>
        <w:rPr>
          <w:rFonts w:hint="eastAsia" w:ascii="仿宋_GB2312" w:hAnsi="仿宋_GB2312" w:eastAsia="仿宋_GB2312" w:cs="仿宋_GB2312"/>
          <w:sz w:val="32"/>
          <w:szCs w:val="32"/>
          <w:highlight w:val="none"/>
          <w:lang w:val="en-US" w:eastAsia="zh-CN"/>
        </w:rPr>
        <w:t>确认</w:t>
      </w:r>
      <w:r>
        <w:rPr>
          <w:rFonts w:hint="eastAsia" w:ascii="仿宋_GB2312" w:hAnsi="仿宋_GB2312" w:eastAsia="仿宋_GB2312" w:cs="仿宋_GB2312"/>
          <w:sz w:val="32"/>
          <w:szCs w:val="32"/>
          <w:highlight w:val="none"/>
        </w:rPr>
        <w:t>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（以下简称“成交</w:t>
      </w:r>
      <w:r>
        <w:rPr>
          <w:rFonts w:hint="eastAsia" w:ascii="仿宋_GB2312" w:hAnsi="仿宋_GB2312" w:eastAsia="仿宋_GB2312" w:cs="仿宋_GB2312"/>
          <w:sz w:val="32"/>
          <w:szCs w:val="32"/>
          <w:highlight w:val="none"/>
          <w:lang w:val="en-US" w:eastAsia="zh-CN"/>
        </w:rPr>
        <w:t>确认</w:t>
      </w:r>
      <w:r>
        <w:rPr>
          <w:rFonts w:hint="eastAsia" w:ascii="仿宋_GB2312" w:hAnsi="仿宋_GB2312" w:eastAsia="仿宋_GB2312" w:cs="仿宋_GB2312"/>
          <w:sz w:val="32"/>
          <w:szCs w:val="32"/>
          <w:highlight w:val="none"/>
        </w:rPr>
        <w:t>书”）样本；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《国有建设用地使用权出让合同》（以下简称“出让合同”）样本；</w:t>
      </w:r>
    </w:p>
    <w:p>
      <w:pPr>
        <w:pStyle w:val="2"/>
        <w:shd w:val="clear"/>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 xml:space="preserve"> 8、</w:t>
      </w:r>
      <w:r>
        <w:rPr>
          <w:rFonts w:hint="eastAsia" w:ascii="仿宋_GB2312" w:hAnsi="仿宋_GB2312" w:eastAsia="仿宋_GB2312" w:cs="仿宋_GB2312"/>
          <w:kern w:val="2"/>
          <w:sz w:val="32"/>
          <w:szCs w:val="32"/>
          <w:highlight w:val="none"/>
          <w:lang w:val="en-US" w:eastAsia="zh-CN" w:bidi="ar-SA"/>
        </w:rPr>
        <w:t>《惠城区工业项目实施监管协议书》</w:t>
      </w:r>
    </w:p>
    <w:p>
      <w:pPr>
        <w:shd w:val="clear"/>
        <w:tabs>
          <w:tab w:val="left" w:pos="3388"/>
        </w:tabs>
        <w:spacing w:line="560" w:lineRule="exact"/>
        <w:ind w:left="0" w:leftChars="0" w:firstLine="640" w:firstLineChars="200"/>
        <w:jc w:val="left"/>
        <w:rPr>
          <w:highlight w:val="none"/>
        </w:rPr>
      </w:pPr>
      <w:r>
        <w:rPr>
          <w:rFonts w:hint="eastAsia" w:ascii="仿宋_GB2312" w:hAnsi="仿宋_GB2312" w:eastAsia="仿宋_GB2312" w:cs="仿宋_GB2312"/>
          <w:sz w:val="32"/>
          <w:szCs w:val="32"/>
          <w:highlight w:val="none"/>
          <w:lang w:val="en-US" w:eastAsia="zh-CN"/>
        </w:rPr>
        <w:t>9、其他相关文件</w:t>
      </w:r>
      <w:r>
        <w:rPr>
          <w:rFonts w:hint="eastAsia" w:ascii="仿宋_GB2312" w:hAnsi="仿宋_GB2312" w:eastAsia="仿宋_GB2312" w:cs="仿宋_GB2312"/>
          <w:sz w:val="32"/>
          <w:szCs w:val="32"/>
          <w:highlight w:val="none"/>
        </w:rPr>
        <w:t>。</w:t>
      </w:r>
    </w:p>
    <w:p>
      <w:pPr>
        <w:shd w:val="clear"/>
        <w:tabs>
          <w:tab w:val="left" w:pos="3388"/>
        </w:tabs>
        <w:spacing w:line="560" w:lineRule="exact"/>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十、办理数字证书</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十一、答疑及现场踏勘</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sz w:val="32"/>
          <w:szCs w:val="32"/>
          <w:highlight w:val="none"/>
        </w:rPr>
      </w:pPr>
      <w:bookmarkStart w:id="4" w:name="103"/>
      <w:bookmarkEnd w:id="4"/>
      <w:r>
        <w:rPr>
          <w:rFonts w:hint="eastAsia" w:ascii="仿宋_GB2312" w:hAnsi="仿宋_GB2312" w:eastAsia="仿宋_GB2312" w:cs="仿宋_GB2312"/>
          <w:b/>
          <w:bCs/>
          <w:sz w:val="32"/>
          <w:szCs w:val="32"/>
          <w:highlight w:val="none"/>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rPr>
      </w:pPr>
      <w:r>
        <w:rPr>
          <w:rFonts w:hint="eastAsia" w:ascii="仿宋_GB2312" w:hAnsi="仿宋_GB2312" w:eastAsia="仿宋_GB2312" w:cs="仿宋_GB2312"/>
          <w:sz w:val="32"/>
          <w:szCs w:val="32"/>
          <w:highlight w:val="none"/>
        </w:rPr>
        <w:t>（二）本宗地竞买保证金到账截止时间为</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highlight w:val="none"/>
        </w:rPr>
        <w:t>9时整，竞买保证金为人民币</w:t>
      </w:r>
      <w:r>
        <w:rPr>
          <w:rFonts w:hint="eastAsia" w:ascii="仿宋_GB2312" w:hAnsi="仿宋_GB2312" w:eastAsia="仿宋_GB2312" w:cs="仿宋_GB2312"/>
          <w:color w:val="auto"/>
          <w:sz w:val="32"/>
          <w:szCs w:val="32"/>
          <w:highlight w:val="none"/>
          <w:u w:val="single"/>
          <w:shd w:val="clear"/>
          <w:lang w:val="en-US" w:eastAsia="zh-CN"/>
        </w:rPr>
        <w:t>壹仟贰佰万元</w:t>
      </w:r>
      <w:r>
        <w:rPr>
          <w:rFonts w:hint="eastAsia" w:ascii="仿宋_GB2312" w:hAnsi="仿宋_GB2312" w:eastAsia="仿宋_GB2312" w:cs="仿宋_GB2312"/>
          <w:color w:val="auto"/>
          <w:sz w:val="32"/>
          <w:szCs w:val="32"/>
          <w:highlight w:val="none"/>
          <w:u w:val="single"/>
          <w:shd w:val="clear"/>
        </w:rPr>
        <w:t>整</w:t>
      </w:r>
      <w:r>
        <w:rPr>
          <w:rFonts w:hint="eastAsia" w:ascii="仿宋_GB2312" w:hAnsi="仿宋_GB2312" w:eastAsia="仿宋_GB2312" w:cs="仿宋_GB2312"/>
          <w:color w:val="auto"/>
          <w:sz w:val="32"/>
          <w:szCs w:val="32"/>
          <w:highlight w:val="none"/>
          <w:shd w:val="clear"/>
        </w:rPr>
        <w:t>（￥</w:t>
      </w:r>
      <w:r>
        <w:rPr>
          <w:rFonts w:hint="eastAsia" w:ascii="仿宋_GB2312" w:hAnsi="仿宋_GB2312" w:eastAsia="仿宋_GB2312" w:cs="仿宋_GB2312"/>
          <w:color w:val="auto"/>
          <w:sz w:val="32"/>
          <w:szCs w:val="32"/>
          <w:highlight w:val="none"/>
          <w:shd w:val="clear"/>
          <w:lang w:val="en-US" w:eastAsia="zh-CN"/>
        </w:rPr>
        <w:t>1200</w:t>
      </w:r>
      <w:r>
        <w:rPr>
          <w:rFonts w:hint="eastAsia" w:ascii="仿宋_GB2312" w:hAnsi="仿宋_GB2312" w:eastAsia="仿宋_GB2312" w:cs="仿宋_GB2312"/>
          <w:color w:val="auto"/>
          <w:sz w:val="32"/>
          <w:szCs w:val="32"/>
          <w:highlight w:val="none"/>
          <w:shd w:val="clear"/>
        </w:rPr>
        <w:t>万元）</w:t>
      </w:r>
      <w:r>
        <w:rPr>
          <w:rFonts w:hint="eastAsia" w:ascii="仿宋_GB2312" w:hAnsi="仿宋_GB2312" w:eastAsia="仿宋_GB2312" w:cs="仿宋_GB2312"/>
          <w:sz w:val="32"/>
          <w:szCs w:val="32"/>
          <w:highlight w:val="none"/>
          <w:shd w:val="clear"/>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（三）竞买人应当提前交纳竞买保证金以确保在到账截止时间前到账，超过到账截止时间的保证金，网上挂牌交易系统将不予受理，造成的损失由竞买人自行承担。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（六）竞买保证金开户单位：惠州市公共资源交易中心</w:t>
      </w:r>
    </w:p>
    <w:p>
      <w:pPr>
        <w:shd w:val="clear"/>
        <w:tabs>
          <w:tab w:val="left" w:pos="3388"/>
        </w:tabs>
        <w:spacing w:line="560" w:lineRule="exact"/>
        <w:ind w:firstLine="640" w:firstLineChars="200"/>
        <w:jc w:val="left"/>
        <w:rPr>
          <w:highlight w:val="none"/>
        </w:rPr>
      </w:pPr>
      <w:r>
        <w:rPr>
          <w:rFonts w:hint="eastAsia" w:ascii="仿宋_GB2312" w:hAnsi="仿宋_GB2312" w:eastAsia="仿宋_GB2312" w:cs="仿宋_GB2312"/>
          <w:sz w:val="32"/>
          <w:szCs w:val="32"/>
          <w:highlight w:val="none"/>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开户银行：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中国农业银行惠州分行。</w:t>
      </w:r>
    </w:p>
    <w:p>
      <w:pPr>
        <w:shd w:val="clear"/>
        <w:tabs>
          <w:tab w:val="left" w:pos="3388"/>
        </w:tabs>
        <w:spacing w:line="560" w:lineRule="exact"/>
        <w:ind w:firstLine="640" w:firstLineChars="200"/>
        <w:jc w:val="left"/>
        <w:rPr>
          <w:rFonts w:hint="eastAsia"/>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中国民生银行股份有限公司惠州分行。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10、中国光大银行股份有限公司惠州分行。</w:t>
      </w:r>
    </w:p>
    <w:p>
      <w:pPr>
        <w:shd w:val="clear"/>
        <w:tabs>
          <w:tab w:val="left" w:pos="3388"/>
        </w:tabs>
        <w:spacing w:line="560" w:lineRule="exact"/>
        <w:ind w:firstLine="640" w:firstLineChars="200"/>
        <w:jc w:val="left"/>
        <w:rPr>
          <w:rFonts w:hint="eastAsia"/>
          <w:highlight w:val="none"/>
          <w:lang w:val="en-US" w:eastAsia="zh-CN"/>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中信银行股份有限公司惠州分行。(备注:中信银行股份有限公司惠州分行本行</w:t>
      </w:r>
      <w:r>
        <w:rPr>
          <w:rFonts w:hint="eastAsia" w:ascii="仿宋_GB2312" w:hAnsi="仿宋_GB2312" w:eastAsia="仿宋_GB2312" w:cs="仿宋_GB2312"/>
          <w:sz w:val="32"/>
          <w:szCs w:val="32"/>
          <w:highlight w:val="none"/>
          <w:lang w:val="en-US" w:eastAsia="zh-CN"/>
        </w:rPr>
        <w:t>转账</w:t>
      </w:r>
      <w:r>
        <w:rPr>
          <w:rFonts w:hint="eastAsia" w:ascii="仿宋_GB2312" w:hAnsi="仿宋_GB2312" w:eastAsia="仿宋_GB2312" w:cs="仿宋_GB2312"/>
          <w:sz w:val="32"/>
          <w:szCs w:val="32"/>
          <w:highlight w:val="none"/>
        </w:rPr>
        <w:t>须到银行柜面办理)。</w:t>
      </w:r>
    </w:p>
    <w:p>
      <w:pPr>
        <w:shd w:val="clear"/>
        <w:tabs>
          <w:tab w:val="left" w:pos="3388"/>
        </w:tabs>
        <w:spacing w:line="560" w:lineRule="exact"/>
        <w:jc w:val="left"/>
        <w:rPr>
          <w:rFonts w:ascii="仿宋_GB2312" w:hAnsi="仿宋_GB2312" w:eastAsia="仿宋_GB2312" w:cs="仿宋_GB2312"/>
          <w:b/>
          <w:bCs/>
          <w:sz w:val="32"/>
          <w:szCs w:val="32"/>
          <w:highlight w:val="none"/>
        </w:rPr>
      </w:pPr>
      <w:bookmarkStart w:id="5" w:name="107"/>
      <w:r>
        <w:rPr>
          <w:rFonts w:hint="eastAsia" w:ascii="仿宋_GB2312" w:hAnsi="仿宋_GB2312" w:eastAsia="仿宋_GB2312" w:cs="仿宋_GB2312"/>
          <w:b/>
          <w:bCs/>
          <w:sz w:val="32"/>
          <w:szCs w:val="32"/>
          <w:highlight w:val="none"/>
        </w:rPr>
        <w:t>十三、</w:t>
      </w:r>
      <w:bookmarkEnd w:id="5"/>
      <w:r>
        <w:rPr>
          <w:rFonts w:hint="eastAsia" w:ascii="仿宋_GB2312" w:hAnsi="仿宋_GB2312" w:eastAsia="仿宋_GB2312" w:cs="仿宋_GB2312"/>
          <w:b/>
          <w:bCs/>
          <w:sz w:val="32"/>
          <w:szCs w:val="32"/>
          <w:highlight w:val="none"/>
        </w:rPr>
        <w:t>网上报价规则</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（四）在报价期间，竞买人可多次报价。</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1、报价未在网上挂牌期限内收到的。</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3、报价不符合报价规则的。</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十四、系统操作</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土地与矿业交易系统竞买人操作视频</w:t>
      </w:r>
      <w:r>
        <w:rPr>
          <w:rFonts w:hint="eastAsia" w:ascii="仿宋_GB2312" w:hAnsi="仿宋_GB2312" w:eastAsia="仿宋_GB2312" w:cs="仿宋_GB2312"/>
          <w:sz w:val="32"/>
          <w:szCs w:val="32"/>
          <w:highlight w:val="none"/>
          <w:lang w:val="en-US" w:eastAsia="zh-CN"/>
        </w:rPr>
        <w:t>可在</w:t>
      </w:r>
      <w:r>
        <w:rPr>
          <w:rFonts w:hint="eastAsia" w:ascii="仿宋_GB2312" w:hAnsi="仿宋_GB2312" w:eastAsia="仿宋_GB2312" w:cs="仿宋_GB2312"/>
          <w:sz w:val="32"/>
          <w:szCs w:val="32"/>
          <w:highlight w:val="none"/>
        </w:rPr>
        <w:t>本中心网上挂牌交易系</w:t>
      </w:r>
      <w:r>
        <w:rPr>
          <w:rFonts w:hint="eastAsia" w:ascii="仿宋_GB2312" w:hAnsi="仿宋_GB2312" w:eastAsia="仿宋_GB2312" w:cs="仿宋_GB2312"/>
          <w:sz w:val="32"/>
          <w:szCs w:val="32"/>
          <w:highlight w:val="none"/>
          <w:lang w:val="en-US" w:eastAsia="zh-CN"/>
        </w:rPr>
        <w:t>统</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下载。</w:t>
      </w:r>
      <w:bookmarkStart w:id="6" w:name="106"/>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十五、</w:t>
      </w:r>
      <w:bookmarkEnd w:id="6"/>
      <w:r>
        <w:rPr>
          <w:rFonts w:hint="eastAsia" w:ascii="仿宋_GB2312" w:hAnsi="仿宋_GB2312" w:eastAsia="仿宋_GB2312" w:cs="仿宋_GB2312"/>
          <w:b/>
          <w:bCs/>
          <w:sz w:val="32"/>
          <w:szCs w:val="32"/>
          <w:highlight w:val="none"/>
        </w:rPr>
        <w:t>网上挂牌程序</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我中心将有关宗地的位置、面积、用途、使用年期、规划要求、起始价、增价规则及增价幅度等予以公布。有意竞买者可登陆惠州市公共资源交易中心土地与矿业网上挂牌交易系统网站(</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)查询。</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（三）交纳保证金</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（四）网上挂牌报价</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5、网上挂牌报价规则见《须知》第十三条。</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（五）网上挂牌截止</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2、网上挂牌交易</w:t>
      </w:r>
      <w:r>
        <w:rPr>
          <w:rFonts w:hint="eastAsia" w:ascii="仿宋_GB2312" w:hAnsi="仿宋_GB2312" w:eastAsia="仿宋_GB2312" w:cs="仿宋_GB2312"/>
          <w:sz w:val="32"/>
          <w:szCs w:val="32"/>
          <w:highlight w:val="none"/>
          <w:lang w:val="en-US" w:eastAsia="zh-CN"/>
        </w:rPr>
        <w:t>期限截止时，无人报价的，挂牌不成交</w:t>
      </w:r>
      <w:r>
        <w:rPr>
          <w:rFonts w:hint="eastAsia" w:ascii="仿宋_GB2312" w:hAnsi="仿宋_GB2312" w:eastAsia="仿宋_GB2312" w:cs="仿宋_GB2312"/>
          <w:sz w:val="32"/>
          <w:szCs w:val="32"/>
          <w:highlight w:val="none"/>
        </w:rPr>
        <w:t>。</w:t>
      </w:r>
    </w:p>
    <w:p>
      <w:pPr>
        <w:shd w:val="clear"/>
        <w:tabs>
          <w:tab w:val="left" w:pos="3388"/>
        </w:tabs>
        <w:spacing w:line="560" w:lineRule="exact"/>
        <w:ind w:firstLine="640"/>
        <w:jc w:val="left"/>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3、网上挂牌交易</w:t>
      </w:r>
      <w:r>
        <w:rPr>
          <w:rFonts w:hint="eastAsia" w:ascii="仿宋_GB2312" w:hAnsi="仿宋_GB2312" w:eastAsia="仿宋_GB2312" w:cs="仿宋_GB2312"/>
          <w:sz w:val="32"/>
          <w:szCs w:val="32"/>
          <w:highlight w:val="none"/>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highlight w:val="none"/>
          <w:lang w:val="en-US" w:eastAsia="zh-CN"/>
        </w:rPr>
      </w:pPr>
      <w:r>
        <w:rPr>
          <w:rFonts w:hint="eastAsia" w:ascii="仿宋_GB2312" w:hAnsi="仿宋_GB2312" w:eastAsia="仿宋_GB2312" w:cs="仿宋_GB2312"/>
          <w:sz w:val="32"/>
          <w:szCs w:val="32"/>
          <w:highlight w:val="none"/>
        </w:rPr>
        <w:t xml:space="preserve">     网上限时竞价中无人报价的，以网上挂牌截止时出价最高</w:t>
      </w:r>
      <w:r>
        <w:rPr>
          <w:rFonts w:hint="eastAsia" w:ascii="仿宋_GB2312" w:hAnsi="仿宋_GB2312" w:eastAsia="仿宋_GB2312" w:cs="仿宋_GB2312"/>
          <w:sz w:val="32"/>
          <w:szCs w:val="32"/>
          <w:highlight w:val="none"/>
          <w:lang w:val="en-US" w:eastAsia="zh-CN"/>
        </w:rPr>
        <w:t>且报价不低于起始价者</w:t>
      </w:r>
      <w:r>
        <w:rPr>
          <w:rFonts w:hint="eastAsia" w:ascii="仿宋_GB2312" w:hAnsi="仿宋_GB2312" w:eastAsia="仿宋_GB2312" w:cs="仿宋_GB2312"/>
          <w:sz w:val="32"/>
          <w:szCs w:val="32"/>
          <w:highlight w:val="none"/>
        </w:rPr>
        <w:t>为竞得人。</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经网上挂牌交易系统询问完毕后，没有竞买人表示愿意继续竞价的，</w:t>
      </w:r>
      <w:r>
        <w:rPr>
          <w:rFonts w:hint="eastAsia" w:ascii="仿宋_GB2312" w:hAnsi="仿宋_GB2312" w:eastAsia="仿宋_GB2312" w:cs="仿宋_GB2312"/>
          <w:sz w:val="32"/>
          <w:szCs w:val="32"/>
          <w:highlight w:val="none"/>
          <w:lang w:val="en-US" w:eastAsia="zh-CN"/>
        </w:rPr>
        <w:t>以</w:t>
      </w:r>
      <w:r>
        <w:rPr>
          <w:rFonts w:hint="eastAsia" w:ascii="仿宋_GB2312" w:hAnsi="仿宋_GB2312" w:eastAsia="仿宋_GB2312" w:cs="仿宋_GB2312"/>
          <w:sz w:val="32"/>
          <w:szCs w:val="32"/>
          <w:highlight w:val="none"/>
        </w:rPr>
        <w:t>网上挂牌交易</w:t>
      </w:r>
      <w:r>
        <w:rPr>
          <w:rFonts w:hint="eastAsia" w:ascii="仿宋_GB2312" w:hAnsi="仿宋_GB2312" w:eastAsia="仿宋_GB2312" w:cs="仿宋_GB2312"/>
          <w:sz w:val="32"/>
          <w:szCs w:val="32"/>
          <w:highlight w:val="none"/>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竞买</w:t>
      </w:r>
      <w:r>
        <w:rPr>
          <w:rFonts w:hint="eastAsia" w:ascii="仿宋_GB2312" w:hAnsi="仿宋_GB2312" w:eastAsia="仿宋_GB2312" w:cs="仿宋_GB2312"/>
          <w:sz w:val="32"/>
          <w:szCs w:val="32"/>
          <w:highlight w:val="none"/>
        </w:rPr>
        <w:t>资格审查和签订《成交确认书》</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《竞买保证金到账通知书》并盖章。</w:t>
      </w:r>
    </w:p>
    <w:p>
      <w:pPr>
        <w:shd w:val="clea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2、竞得人应当在网上挂牌交易结果公布</w:t>
      </w:r>
      <w:r>
        <w:rPr>
          <w:rFonts w:hint="eastAsia" w:ascii="仿宋_GB2312" w:hAnsi="仿宋_GB2312" w:eastAsia="仿宋_GB2312" w:cs="仿宋_GB2312"/>
          <w:sz w:val="32"/>
          <w:szCs w:val="32"/>
          <w:highlight w:val="none"/>
          <w:lang w:val="en-US" w:eastAsia="zh-CN"/>
        </w:rPr>
        <w:t>之日起5</w:t>
      </w:r>
      <w:r>
        <w:rPr>
          <w:rFonts w:hint="eastAsia" w:ascii="仿宋_GB2312" w:hAnsi="仿宋_GB2312" w:eastAsia="仿宋_GB2312" w:cs="仿宋_GB2312"/>
          <w:sz w:val="32"/>
          <w:szCs w:val="32"/>
          <w:highlight w:val="none"/>
        </w:rPr>
        <w:t>个工作日内持公司公章及下列有关纸质材料到本中心进行</w:t>
      </w:r>
      <w:r>
        <w:rPr>
          <w:rFonts w:hint="eastAsia" w:ascii="仿宋_GB2312" w:hAnsi="仿宋_GB2312" w:eastAsia="仿宋_GB2312" w:cs="仿宋_GB2312"/>
          <w:sz w:val="32"/>
          <w:szCs w:val="32"/>
          <w:highlight w:val="none"/>
          <w:lang w:val="en-US" w:eastAsia="zh-CN"/>
        </w:rPr>
        <w:t>竞买</w:t>
      </w:r>
      <w:r>
        <w:rPr>
          <w:rFonts w:hint="eastAsia" w:ascii="仿宋_GB2312" w:hAnsi="仿宋_GB2312" w:eastAsia="仿宋_GB2312" w:cs="仿宋_GB2312"/>
          <w:sz w:val="32"/>
          <w:szCs w:val="32"/>
          <w:highlight w:val="none"/>
        </w:rPr>
        <w:t>资格审查：</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转账</w:t>
      </w:r>
      <w:r>
        <w:rPr>
          <w:rFonts w:hint="eastAsia" w:ascii="仿宋_GB2312" w:hAnsi="仿宋_GB2312" w:eastAsia="仿宋_GB2312" w:cs="仿宋_GB2312"/>
          <w:sz w:val="32"/>
          <w:szCs w:val="32"/>
          <w:highlight w:val="none"/>
        </w:rPr>
        <w:t>凭证复印件（加盖公章）</w:t>
      </w:r>
      <w:r>
        <w:rPr>
          <w:rFonts w:hint="eastAsia" w:ascii="仿宋_GB2312" w:hAnsi="仿宋_GB2312" w:eastAsia="仿宋_GB2312" w:cs="仿宋_GB2312"/>
          <w:sz w:val="32"/>
          <w:szCs w:val="32"/>
          <w:highlight w:val="none"/>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（6）法定代表人身份证复印件（加盖公章）（二份</w:t>
      </w:r>
      <w:r>
        <w:rPr>
          <w:rFonts w:hint="eastAsia" w:ascii="仿宋_GB2312" w:hAnsi="仿宋_GB2312" w:eastAsia="仿宋_GB2312" w:cs="仿宋_GB2312"/>
          <w:sz w:val="32"/>
          <w:szCs w:val="32"/>
          <w:highlight w:val="none"/>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）授权他人代理的授权委托书及代理人身份证复印件（核对原件）。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宋体" w:eastAsia="仿宋_GB2312" w:cs="宋体"/>
          <w:color w:val="auto"/>
          <w:kern w:val="0"/>
          <w:sz w:val="32"/>
          <w:szCs w:val="32"/>
          <w:highlight w:val="none"/>
        </w:rPr>
        <w:t>《惠城区工业项目</w:t>
      </w:r>
      <w:r>
        <w:rPr>
          <w:rFonts w:hint="eastAsia" w:ascii="仿宋_GB2312" w:hAnsi="宋体" w:eastAsia="仿宋_GB2312" w:cs="宋体"/>
          <w:color w:val="auto"/>
          <w:kern w:val="0"/>
          <w:sz w:val="32"/>
          <w:szCs w:val="32"/>
          <w:highlight w:val="none"/>
          <w:lang w:val="en-US" w:eastAsia="zh-CN"/>
        </w:rPr>
        <w:t>实施</w:t>
      </w:r>
      <w:r>
        <w:rPr>
          <w:rFonts w:hint="eastAsia" w:ascii="仿宋_GB2312" w:hAnsi="宋体" w:eastAsia="仿宋_GB2312" w:cs="宋体"/>
          <w:color w:val="auto"/>
          <w:kern w:val="0"/>
          <w:sz w:val="32"/>
          <w:szCs w:val="32"/>
          <w:highlight w:val="none"/>
        </w:rPr>
        <w:t>监管协议书》。</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w:t>
      </w:r>
      <w:r>
        <w:rPr>
          <w:rFonts w:hint="eastAsia" w:ascii="仿宋_GB2312" w:hAnsi="宋体" w:eastAsia="仿宋_GB2312" w:cs="宋体"/>
          <w:color w:val="auto"/>
          <w:kern w:val="0"/>
          <w:sz w:val="32"/>
          <w:szCs w:val="32"/>
          <w:highlight w:val="none"/>
        </w:rPr>
        <w:t>须提交惠城区发改局出具的与该宗地块规划确定的产业类型一致的优先发展产业项目文件。</w:t>
      </w:r>
    </w:p>
    <w:p>
      <w:pPr>
        <w:pStyle w:val="2"/>
        <w:shd w:val="clear"/>
        <w:ind w:left="0" w:leftChars="0" w:firstLine="640" w:firstLineChars="200"/>
        <w:rPr>
          <w:rFonts w:hint="eastAsia"/>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（11）竞买</w:t>
      </w:r>
      <w:r>
        <w:rPr>
          <w:rFonts w:hint="eastAsia" w:ascii="仿宋_GB2312" w:hAnsi="仿宋_GB2312" w:eastAsia="仿宋_GB2312" w:cs="仿宋_GB2312"/>
          <w:sz w:val="32"/>
          <w:szCs w:val="32"/>
          <w:highlight w:val="none"/>
        </w:rPr>
        <w:t>人及其控股股东</w:t>
      </w:r>
      <w:r>
        <w:rPr>
          <w:rFonts w:hint="eastAsia" w:ascii="仿宋_GB2312" w:hAnsi="仿宋_GB2312" w:eastAsia="仿宋_GB2312" w:cs="仿宋_GB2312"/>
          <w:sz w:val="32"/>
          <w:szCs w:val="32"/>
          <w:highlight w:val="none"/>
          <w:lang w:val="en-US" w:eastAsia="zh-CN"/>
        </w:rPr>
        <w:t>不</w:t>
      </w:r>
      <w:r>
        <w:rPr>
          <w:rFonts w:hint="eastAsia" w:ascii="仿宋_GB2312" w:hAnsi="仿宋_GB2312" w:eastAsia="仿宋_GB2312" w:cs="仿宋_GB2312"/>
          <w:sz w:val="32"/>
          <w:szCs w:val="32"/>
          <w:highlight w:val="none"/>
        </w:rPr>
        <w:t>存在违法、违规、违约行为的</w:t>
      </w:r>
      <w:r>
        <w:rPr>
          <w:rFonts w:hint="eastAsia" w:ascii="仿宋_GB2312" w:hAnsi="仿宋_GB2312" w:eastAsia="仿宋_GB2312" w:cs="仿宋_GB2312"/>
          <w:sz w:val="32"/>
          <w:szCs w:val="32"/>
          <w:highlight w:val="none"/>
          <w:lang w:val="en-US" w:eastAsia="zh-CN"/>
        </w:rPr>
        <w:t>承诺书</w:t>
      </w:r>
      <w:r>
        <w:rPr>
          <w:rFonts w:hint="eastAsia" w:ascii="仿宋_GB2312" w:hAnsi="仿宋_GB2312" w:eastAsia="仿宋_GB2312" w:cs="仿宋_GB2312"/>
          <w:sz w:val="32"/>
          <w:szCs w:val="32"/>
          <w:highlight w:val="none"/>
          <w:lang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上述第（</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竞买人如需保存上述竞买报名资料应自留备份，本中心不予退还。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上述文件中，申请书必须用中文书写，其他文件可以使用其它语言，但必须附中文译本，所有文件的解释以中文译本为准。</w:t>
      </w:r>
    </w:p>
    <w:p>
      <w:pPr>
        <w:pStyle w:val="2"/>
        <w:shd w:val="clear"/>
        <w:ind w:left="0" w:leftChars="0" w:firstLine="640" w:firstLineChars="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3、经审查，符合</w:t>
      </w:r>
      <w:r>
        <w:rPr>
          <w:rFonts w:hint="eastAsia" w:ascii="仿宋_GB2312" w:hAnsi="仿宋_GB2312" w:eastAsia="仿宋_GB2312" w:cs="仿宋_GB2312"/>
          <w:sz w:val="32"/>
          <w:szCs w:val="32"/>
          <w:highlight w:val="none"/>
          <w:lang w:val="en-US" w:eastAsia="zh-CN"/>
        </w:rPr>
        <w:t>竞买</w:t>
      </w:r>
      <w:r>
        <w:rPr>
          <w:rFonts w:hint="eastAsia" w:ascii="仿宋_GB2312" w:hAnsi="仿宋_GB2312" w:eastAsia="仿宋_GB2312" w:cs="仿宋_GB2312"/>
          <w:b w:val="0"/>
          <w:bCs w:val="0"/>
          <w:sz w:val="32"/>
          <w:szCs w:val="32"/>
          <w:highlight w:val="none"/>
          <w:lang w:val="en-US" w:eastAsia="zh-CN"/>
        </w:rPr>
        <w:t>资格的，竞得人应当按挂牌文件的约定时间与本中心及出让人签订《成交确认书》；经审查，不符合竞买资格的，按本须知第六条处理。</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）网上挂牌出让结果公示</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sz w:val="32"/>
          <w:szCs w:val="32"/>
          <w:highlight w:val="none"/>
        </w:rPr>
      </w:pPr>
      <w:bookmarkStart w:id="7" w:name="108"/>
      <w:r>
        <w:rPr>
          <w:rFonts w:hint="eastAsia" w:ascii="仿宋_GB2312" w:hAnsi="仿宋_GB2312" w:eastAsia="仿宋_GB2312" w:cs="仿宋_GB2312"/>
          <w:b/>
          <w:bCs/>
          <w:sz w:val="32"/>
          <w:szCs w:val="32"/>
          <w:highlight w:val="none"/>
        </w:rPr>
        <w:t>十六、</w:t>
      </w:r>
      <w:bookmarkEnd w:id="7"/>
      <w:r>
        <w:rPr>
          <w:rFonts w:hint="eastAsia" w:ascii="仿宋_GB2312" w:hAnsi="仿宋_GB2312" w:eastAsia="仿宋_GB2312" w:cs="仿宋_GB2312"/>
          <w:b/>
          <w:bCs/>
          <w:sz w:val="32"/>
          <w:szCs w:val="32"/>
          <w:highlight w:val="none"/>
        </w:rPr>
        <w:t>注意事项</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（二）本次国有建设用地使用权网上挂牌出让为无底价挂牌出让，按照价高者得的原则确定竞得人。</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仿宋_GB2312" w:hAnsi="仿宋_GB2312" w:eastAsia="仿宋_GB2312" w:cs="仿宋_GB2312"/>
          <w:sz w:val="32"/>
          <w:szCs w:val="32"/>
          <w:highlight w:val="none"/>
          <w:lang w:eastAsia="zh-CN"/>
        </w:rPr>
        <w:t>，</w:t>
      </w:r>
      <w:r>
        <w:rPr>
          <w:rFonts w:hint="eastAsia" w:ascii="仿宋_GB2312" w:hAnsi="宋体" w:eastAsia="仿宋_GB2312" w:cs="宋体"/>
          <w:color w:val="auto"/>
          <w:kern w:val="0"/>
          <w:sz w:val="32"/>
          <w:szCs w:val="32"/>
          <w:highlight w:val="none"/>
        </w:rPr>
        <w:t>即新公司的股东必须100%是竞买申请企业作为法人的股东</w:t>
      </w:r>
      <w:r>
        <w:rPr>
          <w:rFonts w:hint="eastAsia" w:ascii="仿宋_GB2312" w:hAnsi="仿宋_GB2312" w:eastAsia="仿宋_GB2312" w:cs="仿宋_GB2312"/>
          <w:sz w:val="32"/>
          <w:szCs w:val="32"/>
          <w:highlight w:val="none"/>
        </w:rPr>
        <w:t>。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）确定竞得人后，竞得人持《</w:t>
      </w:r>
      <w:r>
        <w:rPr>
          <w:rFonts w:hint="eastAsia" w:ascii="仿宋_GB2312" w:hAnsi="仿宋_GB2312" w:eastAsia="仿宋_GB2312" w:cs="仿宋_GB2312"/>
          <w:sz w:val="32"/>
          <w:szCs w:val="32"/>
          <w:highlight w:val="none"/>
          <w:lang w:val="en-US" w:eastAsia="zh-CN"/>
        </w:rPr>
        <w:t>竞价结果</w:t>
      </w:r>
      <w:r>
        <w:rPr>
          <w:rFonts w:hint="eastAsia" w:ascii="仿宋_GB2312" w:hAnsi="仿宋_GB2312" w:eastAsia="仿宋_GB2312" w:cs="仿宋_GB2312"/>
          <w:sz w:val="32"/>
          <w:szCs w:val="32"/>
          <w:highlight w:val="none"/>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竞价结果</w:t>
      </w:r>
      <w:r>
        <w:rPr>
          <w:rFonts w:hint="eastAsia" w:ascii="仿宋_GB2312" w:hAnsi="仿宋_GB2312" w:eastAsia="仿宋_GB2312" w:cs="仿宋_GB2312"/>
          <w:sz w:val="32"/>
          <w:szCs w:val="32"/>
          <w:highlight w:val="none"/>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网上挂牌系统确定成交后，竞得人缴纳的竞买保证金按</w:t>
      </w:r>
      <w:r>
        <w:rPr>
          <w:rFonts w:hint="eastAsia" w:ascii="仿宋_GB2312" w:hAnsi="仿宋_GB2312" w:eastAsia="仿宋_GB2312" w:cs="仿宋_GB2312"/>
          <w:sz w:val="32"/>
          <w:szCs w:val="32"/>
          <w:highlight w:val="none"/>
          <w:lang w:val="en-US" w:eastAsia="zh-CN"/>
        </w:rPr>
        <w:t>成交价的</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sz w:val="32"/>
          <w:szCs w:val="32"/>
          <w:highlight w:val="none"/>
          <w:lang w:val="en-US" w:eastAsia="zh-CN"/>
        </w:rPr>
        <w:t>转作</w:t>
      </w:r>
      <w:r>
        <w:rPr>
          <w:rFonts w:hint="eastAsia" w:ascii="仿宋_GB2312" w:hAnsi="仿宋_GB2312" w:eastAsia="仿宋_GB2312" w:cs="仿宋_GB2312"/>
          <w:sz w:val="32"/>
          <w:szCs w:val="32"/>
          <w:highlight w:val="none"/>
        </w:rPr>
        <w:t>定金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如</w:t>
      </w:r>
      <w:r>
        <w:rPr>
          <w:rFonts w:hint="eastAsia" w:ascii="仿宋_GB2312" w:hAnsi="仿宋_GB2312" w:eastAsia="仿宋_GB2312" w:cs="仿宋_GB2312"/>
          <w:sz w:val="32"/>
          <w:szCs w:val="32"/>
          <w:highlight w:val="none"/>
          <w:lang w:eastAsia="zh-CN"/>
        </w:rPr>
        <w:t>竞买保证金</w:t>
      </w:r>
      <w:r>
        <w:rPr>
          <w:rFonts w:hint="eastAsia" w:ascii="仿宋_GB2312" w:hAnsi="仿宋_GB2312" w:eastAsia="仿宋_GB2312" w:cs="仿宋_GB2312"/>
          <w:sz w:val="32"/>
          <w:szCs w:val="32"/>
          <w:highlight w:val="none"/>
          <w:lang w:val="en-US" w:eastAsia="zh-CN"/>
        </w:rPr>
        <w:t>不足以缴纳定金，</w:t>
      </w:r>
      <w:r>
        <w:rPr>
          <w:rFonts w:hint="eastAsia" w:ascii="仿宋_GB2312" w:hAnsi="仿宋_GB2312" w:eastAsia="仿宋_GB2312" w:cs="仿宋_GB2312"/>
          <w:sz w:val="32"/>
          <w:szCs w:val="32"/>
          <w:highlight w:val="none"/>
        </w:rPr>
        <w:t>不足部分在交易系统确定成交之日起5个工作日内补齐</w:t>
      </w:r>
      <w:r>
        <w:rPr>
          <w:rFonts w:hint="eastAsia" w:ascii="仿宋_GB2312" w:hAnsi="仿宋_GB2312" w:eastAsia="仿宋_GB2312" w:cs="仿宋_GB2312"/>
          <w:sz w:val="32"/>
          <w:szCs w:val="32"/>
          <w:highlight w:val="none"/>
          <w:lang w:eastAsia="zh-CN"/>
        </w:rPr>
        <w:t>；如竞买保证金转作定金</w:t>
      </w:r>
      <w:r>
        <w:rPr>
          <w:rFonts w:hint="eastAsia" w:ascii="仿宋_GB2312" w:hAnsi="仿宋_GB2312" w:eastAsia="仿宋_GB2312" w:cs="仿宋_GB2312"/>
          <w:sz w:val="32"/>
          <w:szCs w:val="32"/>
          <w:highlight w:val="none"/>
          <w:lang w:val="en-US" w:eastAsia="zh-CN"/>
        </w:rPr>
        <w:t>后有剩余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余额抵作</w:t>
      </w:r>
      <w:r>
        <w:rPr>
          <w:rFonts w:hint="eastAsia" w:ascii="仿宋_GB2312" w:hAnsi="仿宋_GB2312" w:eastAsia="仿宋_GB2312" w:cs="仿宋_GB2312"/>
          <w:sz w:val="32"/>
          <w:szCs w:val="32"/>
          <w:highlight w:val="none"/>
          <w:lang w:val="en-US" w:eastAsia="zh-CN"/>
        </w:rPr>
        <w:t>土地</w:t>
      </w:r>
      <w:r>
        <w:rPr>
          <w:rFonts w:hint="eastAsia" w:ascii="仿宋_GB2312" w:hAnsi="仿宋_GB2312" w:eastAsia="仿宋_GB2312" w:cs="仿宋_GB2312"/>
          <w:sz w:val="32"/>
          <w:szCs w:val="32"/>
          <w:highlight w:val="none"/>
        </w:rPr>
        <w:t>成交价</w:t>
      </w:r>
      <w:r>
        <w:rPr>
          <w:rFonts w:hint="eastAsia" w:ascii="仿宋_GB2312" w:hAnsi="仿宋_GB2312" w:eastAsia="仿宋_GB2312" w:cs="仿宋_GB2312"/>
          <w:sz w:val="32"/>
          <w:szCs w:val="32"/>
          <w:highlight w:val="none"/>
          <w:lang w:val="en-US" w:eastAsia="zh-CN"/>
        </w:rPr>
        <w:t>的预付</w:t>
      </w:r>
      <w:r>
        <w:rPr>
          <w:rFonts w:hint="eastAsia" w:ascii="仿宋_GB2312" w:hAnsi="仿宋_GB2312" w:eastAsia="仿宋_GB2312" w:cs="仿宋_GB2312"/>
          <w:sz w:val="32"/>
          <w:szCs w:val="32"/>
          <w:highlight w:val="none"/>
        </w:rPr>
        <w:t>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竞得人签订《出让合同》后，定金可抵作土地成交价款，余额转作成交价款。</w:t>
      </w:r>
    </w:p>
    <w:p>
      <w:pPr>
        <w:shd w:val="clear"/>
        <w:tabs>
          <w:tab w:val="left" w:pos="3388"/>
        </w:tabs>
        <w:spacing w:line="560" w:lineRule="exact"/>
        <w:ind w:firstLine="640"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未竞得人缴纳的竞买保证金将于电子挂牌交易活动结束</w:t>
      </w:r>
      <w:r>
        <w:rPr>
          <w:rFonts w:hint="eastAsia" w:ascii="仿宋_GB2312" w:hAnsi="仿宋_GB2312" w:eastAsia="仿宋_GB2312" w:cs="仿宋_GB2312"/>
          <w:sz w:val="32"/>
          <w:szCs w:val="32"/>
          <w:highlight w:val="none"/>
          <w:lang w:val="en-US" w:eastAsia="zh-CN"/>
        </w:rPr>
        <w:t>之日起</w:t>
      </w:r>
      <w:r>
        <w:rPr>
          <w:rFonts w:hint="eastAsia" w:ascii="仿宋_GB2312" w:hAnsi="仿宋_GB2312" w:eastAsia="仿宋_GB2312" w:cs="仿宋_GB2312"/>
          <w:sz w:val="32"/>
          <w:szCs w:val="32"/>
          <w:highlight w:val="none"/>
        </w:rPr>
        <w:t>5个工作日内带齐相关资料（</w:t>
      </w:r>
      <w:r>
        <w:rPr>
          <w:rFonts w:hint="eastAsia" w:ascii="仿宋_GB2312" w:hAnsi="仿宋_GB2312" w:eastAsia="仿宋_GB2312" w:cs="仿宋_GB2312"/>
          <w:color w:val="000000"/>
          <w:sz w:val="32"/>
          <w:szCs w:val="32"/>
          <w:highlight w:val="none"/>
        </w:rPr>
        <w:t>《保证金到账通知书》</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保证金</w:t>
      </w:r>
      <w:r>
        <w:rPr>
          <w:rFonts w:hint="eastAsia" w:ascii="仿宋_GB2312" w:hAnsi="仿宋_GB2312" w:eastAsia="仿宋_GB2312" w:cs="仿宋_GB2312"/>
          <w:color w:val="000000"/>
          <w:sz w:val="32"/>
          <w:szCs w:val="32"/>
          <w:highlight w:val="none"/>
        </w:rPr>
        <w:t>进账单等）到本中心退还保证金，不计利息。</w:t>
      </w:r>
    </w:p>
    <w:p>
      <w:pPr>
        <w:pStyle w:val="2"/>
        <w:shd w:val="clear"/>
        <w:rPr>
          <w:rFonts w:ascii="仿宋_GB2312" w:hAnsi="仿宋_GB2312" w:eastAsia="仿宋_GB2312" w:cs="仿宋_GB2312"/>
          <w:sz w:val="32"/>
          <w:szCs w:val="32"/>
          <w:highlight w:val="none"/>
          <w:shd w:val="clear" w:color="FFFFFF" w:fill="D9D9D9"/>
        </w:rPr>
      </w:pPr>
      <w:r>
        <w:rPr>
          <w:rFonts w:hint="eastAsia" w:ascii="仿宋_GB2312" w:hAnsi="仿宋_GB2312" w:eastAsia="仿宋_GB2312" w:cs="仿宋_GB2312"/>
          <w:color w:val="000000"/>
          <w:kern w:val="2"/>
          <w:sz w:val="32"/>
          <w:szCs w:val="32"/>
          <w:highlight w:val="none"/>
          <w:lang w:val="en-US" w:eastAsia="zh-CN" w:bidi="ar-SA"/>
        </w:rPr>
        <w:t>《成交确认书》签订之日起5个工作日内竞得人须与出让人签订《出让合同》。</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5、司法机关要求暂停、中止或终止网上挂牌交易活动的。</w:t>
      </w:r>
    </w:p>
    <w:p>
      <w:pPr>
        <w:shd w:val="clear"/>
        <w:spacing w:line="560" w:lineRule="exact"/>
        <w:rPr>
          <w:rFonts w:ascii="仿宋_GB2312" w:eastAsia="仿宋_GB2312"/>
          <w:highlight w:val="none"/>
        </w:rPr>
      </w:pPr>
      <w:r>
        <w:rPr>
          <w:rFonts w:hint="eastAsia" w:ascii="仿宋_GB2312" w:hAnsi="仿宋_GB2312" w:eastAsia="仿宋_GB2312" w:cs="仿宋_GB2312"/>
          <w:sz w:val="32"/>
          <w:szCs w:val="32"/>
          <w:highlight w:val="none"/>
        </w:rPr>
        <w:t xml:space="preserve">    </w:t>
      </w:r>
      <w:r>
        <w:rPr>
          <w:rFonts w:hint="eastAsia" w:ascii="仿宋_GB2312" w:eastAsia="仿宋_GB2312"/>
          <w:sz w:val="32"/>
          <w:szCs w:val="32"/>
          <w:highlight w:val="none"/>
        </w:rPr>
        <w:t>6、</w:t>
      </w:r>
      <w:r>
        <w:rPr>
          <w:rFonts w:hint="eastAsia" w:ascii="仿宋_GB2312" w:eastAsia="仿宋_GB2312"/>
          <w:sz w:val="32"/>
          <w:szCs w:val="32"/>
          <w:highlight w:val="none"/>
          <w:lang w:val="en-US" w:eastAsia="zh-CN"/>
        </w:rPr>
        <w:t>惠州</w:t>
      </w:r>
      <w:r>
        <w:rPr>
          <w:rFonts w:hint="eastAsia" w:ascii="仿宋_GB2312" w:eastAsia="仿宋_GB2312"/>
          <w:sz w:val="32"/>
          <w:szCs w:val="32"/>
          <w:highlight w:val="none"/>
        </w:rPr>
        <w:t>市</w:t>
      </w:r>
      <w:r>
        <w:rPr>
          <w:rFonts w:hint="eastAsia" w:ascii="仿宋_GB2312" w:eastAsia="仿宋_GB2312"/>
          <w:sz w:val="32"/>
          <w:szCs w:val="32"/>
          <w:highlight w:val="none"/>
          <w:lang w:val="en-US" w:eastAsia="zh-CN"/>
        </w:rPr>
        <w:t>惠城区</w:t>
      </w:r>
      <w:r>
        <w:rPr>
          <w:rFonts w:hint="eastAsia" w:ascii="仿宋_GB2312" w:eastAsia="仿宋_GB2312"/>
          <w:sz w:val="32"/>
          <w:szCs w:val="32"/>
          <w:highlight w:val="none"/>
        </w:rPr>
        <w:t>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eastAsia="仿宋_GB2312"/>
          <w:sz w:val="32"/>
          <w:szCs w:val="32"/>
          <w:highlight w:val="none"/>
        </w:rPr>
        <w:t>（十）</w:t>
      </w:r>
      <w:r>
        <w:rPr>
          <w:rFonts w:hint="eastAsia" w:ascii="仿宋_GB2312" w:hAnsi="仿宋_GB2312" w:eastAsia="仿宋_GB2312" w:cs="仿宋_GB2312"/>
          <w:sz w:val="32"/>
          <w:szCs w:val="32"/>
          <w:highlight w:val="none"/>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）本中心对本《须知》有解释权。未尽事宜依照《招标拍卖挂牌出让国有土地使用权规范》办理。</w:t>
      </w:r>
    </w:p>
    <w:p>
      <w:pPr>
        <w:pStyle w:val="2"/>
        <w:shd w:val="clear"/>
        <w:rPr>
          <w:highlight w:val="none"/>
        </w:rPr>
      </w:pPr>
    </w:p>
    <w:p>
      <w:pPr>
        <w:pStyle w:val="2"/>
        <w:shd w:val="clear"/>
        <w:rPr>
          <w:highlight w:val="none"/>
        </w:rPr>
      </w:pPr>
    </w:p>
    <w:p>
      <w:pPr>
        <w:shd w:val="clear"/>
        <w:tabs>
          <w:tab w:val="left" w:pos="3388"/>
        </w:tabs>
        <w:ind w:firstLine="4640" w:firstLineChars="145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w:t>
      </w:r>
    </w:p>
    <w:p>
      <w:pPr>
        <w:shd w:val="clear"/>
        <w:tabs>
          <w:tab w:val="left" w:pos="3388"/>
        </w:tabs>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2021年8月18</w:t>
      </w:r>
      <w:bookmarkStart w:id="8" w:name="_GoBack"/>
      <w:bookmarkEnd w:id="8"/>
      <w:r>
        <w:rPr>
          <w:rFonts w:hint="eastAsia" w:ascii="仿宋_GB2312" w:hAnsi="仿宋_GB2312" w:eastAsia="仿宋_GB2312" w:cs="仿宋_GB2312"/>
          <w:color w:val="auto"/>
          <w:sz w:val="32"/>
          <w:szCs w:val="32"/>
          <w:highlight w:val="none"/>
          <w:lang w:val="en-US" w:eastAsia="zh-CN"/>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BE4BB1"/>
    <w:multiLevelType w:val="singleLevel"/>
    <w:tmpl w:val="F8BE4BB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B51C7D"/>
    <w:rsid w:val="031A11BD"/>
    <w:rsid w:val="042C6BAB"/>
    <w:rsid w:val="04BB2A35"/>
    <w:rsid w:val="04F7599A"/>
    <w:rsid w:val="05280DC9"/>
    <w:rsid w:val="054F511E"/>
    <w:rsid w:val="05616BEE"/>
    <w:rsid w:val="05AA6043"/>
    <w:rsid w:val="065D58C0"/>
    <w:rsid w:val="06E22DF8"/>
    <w:rsid w:val="071F73B3"/>
    <w:rsid w:val="077D5D24"/>
    <w:rsid w:val="07F629A0"/>
    <w:rsid w:val="091E26EA"/>
    <w:rsid w:val="09317644"/>
    <w:rsid w:val="0A812477"/>
    <w:rsid w:val="0B1406EF"/>
    <w:rsid w:val="0C40433F"/>
    <w:rsid w:val="0C8642BF"/>
    <w:rsid w:val="0DCB3B54"/>
    <w:rsid w:val="0FB217AF"/>
    <w:rsid w:val="0FB2799E"/>
    <w:rsid w:val="10152918"/>
    <w:rsid w:val="105A2768"/>
    <w:rsid w:val="10A1573B"/>
    <w:rsid w:val="10B43BC1"/>
    <w:rsid w:val="111E117E"/>
    <w:rsid w:val="11A17A14"/>
    <w:rsid w:val="12295A9F"/>
    <w:rsid w:val="14924D3E"/>
    <w:rsid w:val="15BB632B"/>
    <w:rsid w:val="15C4392F"/>
    <w:rsid w:val="15D340EA"/>
    <w:rsid w:val="16615977"/>
    <w:rsid w:val="168C318D"/>
    <w:rsid w:val="16AE6DA7"/>
    <w:rsid w:val="170F4C1C"/>
    <w:rsid w:val="174F54E7"/>
    <w:rsid w:val="18220C10"/>
    <w:rsid w:val="1960257D"/>
    <w:rsid w:val="19D941D6"/>
    <w:rsid w:val="1CB6407B"/>
    <w:rsid w:val="1DE56E00"/>
    <w:rsid w:val="1E4A3E3B"/>
    <w:rsid w:val="1ED73189"/>
    <w:rsid w:val="1F1E4268"/>
    <w:rsid w:val="20855E22"/>
    <w:rsid w:val="21587C67"/>
    <w:rsid w:val="22463965"/>
    <w:rsid w:val="2249566B"/>
    <w:rsid w:val="22661D8C"/>
    <w:rsid w:val="22DC01FC"/>
    <w:rsid w:val="23141DA3"/>
    <w:rsid w:val="247C6354"/>
    <w:rsid w:val="259D34B7"/>
    <w:rsid w:val="25D63F7C"/>
    <w:rsid w:val="26391FD0"/>
    <w:rsid w:val="26741665"/>
    <w:rsid w:val="272C05B0"/>
    <w:rsid w:val="282C1E6E"/>
    <w:rsid w:val="28D2352A"/>
    <w:rsid w:val="28ED736B"/>
    <w:rsid w:val="29220F8B"/>
    <w:rsid w:val="29DE5841"/>
    <w:rsid w:val="2A636D11"/>
    <w:rsid w:val="2AA45603"/>
    <w:rsid w:val="2B1A2077"/>
    <w:rsid w:val="2CA246FC"/>
    <w:rsid w:val="2CD752D7"/>
    <w:rsid w:val="2D027EED"/>
    <w:rsid w:val="2D2632FD"/>
    <w:rsid w:val="2DEB4267"/>
    <w:rsid w:val="2F0337D6"/>
    <w:rsid w:val="2F944F64"/>
    <w:rsid w:val="2FA2409E"/>
    <w:rsid w:val="30DB33EE"/>
    <w:rsid w:val="313D23E2"/>
    <w:rsid w:val="31880862"/>
    <w:rsid w:val="31B60A9D"/>
    <w:rsid w:val="324E22EE"/>
    <w:rsid w:val="33A33367"/>
    <w:rsid w:val="33CE0AAA"/>
    <w:rsid w:val="34B40523"/>
    <w:rsid w:val="34C41D04"/>
    <w:rsid w:val="34CD617E"/>
    <w:rsid w:val="360B04FE"/>
    <w:rsid w:val="370B6C13"/>
    <w:rsid w:val="378C6660"/>
    <w:rsid w:val="37FB7A76"/>
    <w:rsid w:val="38DE5E51"/>
    <w:rsid w:val="390E539D"/>
    <w:rsid w:val="3C4A4143"/>
    <w:rsid w:val="3C5E598F"/>
    <w:rsid w:val="3C8F0E4F"/>
    <w:rsid w:val="3CAD2EC5"/>
    <w:rsid w:val="3CB81CC8"/>
    <w:rsid w:val="3D322E34"/>
    <w:rsid w:val="3D34683B"/>
    <w:rsid w:val="3D5E1016"/>
    <w:rsid w:val="3FB91BA4"/>
    <w:rsid w:val="3FC22752"/>
    <w:rsid w:val="409035AB"/>
    <w:rsid w:val="418879B1"/>
    <w:rsid w:val="421630A4"/>
    <w:rsid w:val="432B1A76"/>
    <w:rsid w:val="43E840B4"/>
    <w:rsid w:val="43EC1655"/>
    <w:rsid w:val="440C4340"/>
    <w:rsid w:val="4442558E"/>
    <w:rsid w:val="44811DC9"/>
    <w:rsid w:val="450E3C66"/>
    <w:rsid w:val="454309A1"/>
    <w:rsid w:val="458C06A8"/>
    <w:rsid w:val="459403CB"/>
    <w:rsid w:val="45C47203"/>
    <w:rsid w:val="45E829E7"/>
    <w:rsid w:val="465E4F22"/>
    <w:rsid w:val="467262F8"/>
    <w:rsid w:val="46DA05EA"/>
    <w:rsid w:val="46F579AB"/>
    <w:rsid w:val="48566E44"/>
    <w:rsid w:val="48593E6F"/>
    <w:rsid w:val="48B510E7"/>
    <w:rsid w:val="493B6F1B"/>
    <w:rsid w:val="4AFF2E69"/>
    <w:rsid w:val="4BA610FC"/>
    <w:rsid w:val="4BEE1CA4"/>
    <w:rsid w:val="4CF51C39"/>
    <w:rsid w:val="4D1F6077"/>
    <w:rsid w:val="4ED2701A"/>
    <w:rsid w:val="4F1E4BBE"/>
    <w:rsid w:val="4F3537ED"/>
    <w:rsid w:val="4FFE1B2F"/>
    <w:rsid w:val="51467837"/>
    <w:rsid w:val="52132F5D"/>
    <w:rsid w:val="528F1625"/>
    <w:rsid w:val="52AA5DFE"/>
    <w:rsid w:val="533F6C66"/>
    <w:rsid w:val="544F17E9"/>
    <w:rsid w:val="546D5003"/>
    <w:rsid w:val="54943EAC"/>
    <w:rsid w:val="54C11818"/>
    <w:rsid w:val="58AC5C79"/>
    <w:rsid w:val="58B217DC"/>
    <w:rsid w:val="58FE24B1"/>
    <w:rsid w:val="59693A9B"/>
    <w:rsid w:val="5A154FE3"/>
    <w:rsid w:val="5AEE4F52"/>
    <w:rsid w:val="5B1D2CCC"/>
    <w:rsid w:val="5B52670E"/>
    <w:rsid w:val="5B625B54"/>
    <w:rsid w:val="5B640509"/>
    <w:rsid w:val="5B8E3054"/>
    <w:rsid w:val="5C943765"/>
    <w:rsid w:val="5CAD3E88"/>
    <w:rsid w:val="5D006096"/>
    <w:rsid w:val="5D731ABE"/>
    <w:rsid w:val="5DB15592"/>
    <w:rsid w:val="5DF81F1B"/>
    <w:rsid w:val="5DFB50B1"/>
    <w:rsid w:val="600D408B"/>
    <w:rsid w:val="610A5EBF"/>
    <w:rsid w:val="61245A3C"/>
    <w:rsid w:val="6178185B"/>
    <w:rsid w:val="617F00E3"/>
    <w:rsid w:val="61C04C47"/>
    <w:rsid w:val="61C170AA"/>
    <w:rsid w:val="626D5569"/>
    <w:rsid w:val="62D03E81"/>
    <w:rsid w:val="62D41879"/>
    <w:rsid w:val="6398078D"/>
    <w:rsid w:val="648A18F5"/>
    <w:rsid w:val="64C30585"/>
    <w:rsid w:val="651C53A6"/>
    <w:rsid w:val="656B5E9D"/>
    <w:rsid w:val="659D6FA9"/>
    <w:rsid w:val="65F2007E"/>
    <w:rsid w:val="66315E92"/>
    <w:rsid w:val="66C13377"/>
    <w:rsid w:val="68085778"/>
    <w:rsid w:val="688B43B5"/>
    <w:rsid w:val="69B07B1E"/>
    <w:rsid w:val="69E22ED5"/>
    <w:rsid w:val="6A15326A"/>
    <w:rsid w:val="6AA821A5"/>
    <w:rsid w:val="6B8A6BF3"/>
    <w:rsid w:val="6BFA1460"/>
    <w:rsid w:val="6C013F77"/>
    <w:rsid w:val="6C181FB4"/>
    <w:rsid w:val="6C197CDD"/>
    <w:rsid w:val="6C5A6DDE"/>
    <w:rsid w:val="6C611252"/>
    <w:rsid w:val="6CCC1A8E"/>
    <w:rsid w:val="6FCE2720"/>
    <w:rsid w:val="6FE52A91"/>
    <w:rsid w:val="705B684C"/>
    <w:rsid w:val="714F5518"/>
    <w:rsid w:val="71AB46C8"/>
    <w:rsid w:val="74CC0B4E"/>
    <w:rsid w:val="74D35F13"/>
    <w:rsid w:val="755C76C8"/>
    <w:rsid w:val="75E43E25"/>
    <w:rsid w:val="76382CBE"/>
    <w:rsid w:val="76B47A3E"/>
    <w:rsid w:val="77A91566"/>
    <w:rsid w:val="77E167B8"/>
    <w:rsid w:val="78591F3E"/>
    <w:rsid w:val="78CA1EAE"/>
    <w:rsid w:val="792409A3"/>
    <w:rsid w:val="7AE44F5D"/>
    <w:rsid w:val="7B3065F7"/>
    <w:rsid w:val="7B4F2E9A"/>
    <w:rsid w:val="7B8363CD"/>
    <w:rsid w:val="7D5207DE"/>
    <w:rsid w:val="7F111F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color w:val="555555"/>
      <w:sz w:val="21"/>
      <w:szCs w:val="21"/>
      <w:bdr w:val="single" w:color="CCCCCC" w:sz="6" w:space="0"/>
      <w:shd w:val="clear" w:fill="EEEEEE"/>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 w:type="character" w:customStyle="1" w:styleId="23">
    <w:name w:val="actspan2"/>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9</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2021-07-13T01:07:00Z</cp:lastPrinted>
  <dcterms:modified xsi:type="dcterms:W3CDTF">2021-08-19T01:41:42Z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