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highlight w:val="none"/>
        </w:rPr>
      </w:pPr>
      <w:r>
        <w:rPr>
          <w:rFonts w:hint="eastAsia" w:ascii="方正小标宋_GBK" w:hAnsi="华文中宋" w:eastAsia="方正小标宋_GBK"/>
          <w:b/>
          <w:bCs/>
          <w:spacing w:val="3"/>
          <w:sz w:val="44"/>
          <w:szCs w:val="44"/>
          <w:highlight w:val="none"/>
        </w:rPr>
        <w:t>惠州市国有建设用地使用权</w:t>
      </w:r>
    </w:p>
    <w:p>
      <w:pPr>
        <w:tabs>
          <w:tab w:val="left" w:pos="11340"/>
        </w:tabs>
        <w:spacing w:line="600" w:lineRule="exact"/>
        <w:jc w:val="center"/>
        <w:rPr>
          <w:rFonts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网上挂牌</w:t>
      </w:r>
      <w:r>
        <w:rPr>
          <w:rFonts w:hint="eastAsia" w:ascii="方正小标宋_GBK" w:hAnsi="华文中宋" w:eastAsia="方正小标宋_GBK"/>
          <w:b/>
          <w:bCs/>
          <w:sz w:val="44"/>
          <w:szCs w:val="44"/>
          <w:highlight w:val="none"/>
        </w:rPr>
        <w:t>出让须知</w:t>
      </w:r>
    </w:p>
    <w:p>
      <w:pPr>
        <w:spacing w:line="6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027</w:t>
      </w:r>
      <w:r>
        <w:rPr>
          <w:rFonts w:hint="eastAsia" w:ascii="仿宋_GB2312" w:hAnsi="仿宋_GB2312" w:eastAsia="仿宋_GB2312" w:cs="仿宋_GB2312"/>
          <w:sz w:val="32"/>
          <w:szCs w:val="32"/>
          <w:highlight w:val="none"/>
        </w:rPr>
        <w:t>号</w:t>
      </w:r>
    </w:p>
    <w:p>
      <w:pPr>
        <w:rPr>
          <w:rFonts w:ascii="仿宋_GB2312" w:hAnsi="仿宋_GB2312" w:eastAsia="仿宋_GB2312" w:cs="仿宋_GB2312"/>
          <w:sz w:val="32"/>
          <w:szCs w:val="32"/>
          <w:highlight w:val="none"/>
        </w:rPr>
      </w:pP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lang w:val="en-US" w:eastAsia="zh-CN"/>
        </w:rPr>
        <w:t>惠城区</w:t>
      </w:r>
      <w:r>
        <w:rPr>
          <w:rFonts w:hint="eastAsia" w:ascii="仿宋_GB2312" w:hAnsi="仿宋_GB2312" w:eastAsia="仿宋_GB2312" w:cs="仿宋_GB2312"/>
          <w:sz w:val="32"/>
          <w:szCs w:val="32"/>
          <w:highlight w:val="none"/>
        </w:rPr>
        <w:t>人民政府批准，受惠州市</w:t>
      </w:r>
      <w:r>
        <w:rPr>
          <w:rFonts w:hint="eastAsia" w:ascii="仿宋_GB2312" w:hAnsi="仿宋_GB2312" w:eastAsia="仿宋_GB2312" w:cs="仿宋_GB2312"/>
          <w:sz w:val="32"/>
          <w:szCs w:val="32"/>
          <w:highlight w:val="none"/>
          <w:lang w:val="en-US" w:eastAsia="zh-CN"/>
        </w:rPr>
        <w:t>惠城区</w:t>
      </w:r>
      <w:r>
        <w:rPr>
          <w:rFonts w:hint="eastAsia" w:ascii="仿宋_GB2312" w:hAnsi="仿宋_GB2312" w:eastAsia="仿宋_GB2312" w:cs="仿宋_GB2312"/>
          <w:sz w:val="32"/>
          <w:szCs w:val="32"/>
          <w:highlight w:val="none"/>
        </w:rPr>
        <w:t>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w:t>
      </w:r>
      <w:r>
        <w:rPr>
          <w:rFonts w:hint="eastAsia" w:ascii="仿宋_GB2312" w:hAnsi="仿宋_GB2312" w:eastAsia="仿宋_GB2312" w:cs="仿宋_GB2312"/>
          <w:b/>
          <w:bCs/>
          <w:sz w:val="32"/>
          <w:szCs w:val="32"/>
          <w:highlight w:val="none"/>
          <w:lang w:val="en-US" w:eastAsia="zh-CN"/>
        </w:rPr>
        <w:t>惠城区</w:t>
      </w:r>
      <w:r>
        <w:rPr>
          <w:rFonts w:hint="eastAsia" w:ascii="仿宋_GB2312" w:hAnsi="仿宋_GB2312" w:eastAsia="仿宋_GB2312" w:cs="仿宋_GB2312"/>
          <w:b/>
          <w:bCs/>
          <w:sz w:val="32"/>
          <w:szCs w:val="32"/>
          <w:highlight w:val="none"/>
        </w:rPr>
        <w:t>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（一）挂牌地块编号：GP20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）地块位置：惠城区马安工业发展集中区（北）MABY-01-28-03号地块;</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（三）规划编号：MABY-01-28-03;</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（四）地块范围：平面界址点以宗地图为准，宗地竖向界限以《</w:t>
      </w:r>
      <w:r>
        <w:rPr>
          <w:rFonts w:hint="eastAsia" w:ascii="仿宋_GB2312" w:hAnsi="仿宋_GB2312" w:eastAsia="仿宋_GB2312" w:cs="仿宋_GB2312"/>
          <w:sz w:val="32"/>
          <w:szCs w:val="32"/>
          <w:highlight w:val="none"/>
          <w:lang w:val="en-US" w:eastAsia="zh-CN"/>
        </w:rPr>
        <w:t>建设用地规划设计条件</w:t>
      </w:r>
      <w:r>
        <w:rPr>
          <w:rFonts w:hint="eastAsia" w:ascii="仿宋_GB2312" w:hAnsi="仿宋_GB2312" w:eastAsia="仿宋_GB2312" w:cs="仿宋_GB2312"/>
          <w:sz w:val="32"/>
          <w:szCs w:val="32"/>
          <w:highlight w:val="none"/>
        </w:rPr>
        <w:t>》（案卷编号：</w:t>
      </w:r>
      <w:r>
        <w:rPr>
          <w:rFonts w:hint="eastAsia" w:ascii="仿宋_GB2312" w:hAnsi="宋体" w:eastAsia="仿宋_GB2312" w:cs="宋体"/>
          <w:color w:val="auto"/>
          <w:kern w:val="0"/>
          <w:sz w:val="32"/>
          <w:szCs w:val="32"/>
          <w:highlight w:val="none"/>
          <w:lang w:val="en-US" w:eastAsia="zh-CN"/>
        </w:rPr>
        <w:t>PB20210007</w:t>
      </w:r>
      <w:r>
        <w:rPr>
          <w:rFonts w:hint="eastAsia" w:ascii="仿宋_GB2312" w:hAnsi="仿宋_GB2312" w:eastAsia="仿宋_GB2312" w:cs="仿宋_GB2312"/>
          <w:sz w:val="32"/>
          <w:szCs w:val="32"/>
          <w:highlight w:val="none"/>
        </w:rPr>
        <w:t>）规定为准；</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宗地使用权面积为：11418.05平方米；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（六）计算指标用地面积为：12408平方米；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（七）计容积率建筑面积：22335-43428平方米；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（八）容积率为：1.8-3.5；</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（九）建筑密度为：≥35%；</w:t>
      </w:r>
    </w:p>
    <w:p>
      <w:pPr>
        <w:tabs>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）土地用途为：</w:t>
      </w:r>
      <w:r>
        <w:rPr>
          <w:rFonts w:hint="eastAsia" w:ascii="仿宋_GB2312" w:hAnsi="仿宋_GB2312" w:eastAsia="仿宋_GB2312" w:cs="仿宋_GB2312"/>
          <w:sz w:val="32"/>
          <w:szCs w:val="32"/>
          <w:highlight w:val="none"/>
          <w:lang w:val="en-US" w:eastAsia="zh-CN"/>
        </w:rPr>
        <w:t>一类工业用地</w:t>
      </w:r>
      <w:r>
        <w:rPr>
          <w:rFonts w:hint="eastAsia" w:ascii="仿宋_GB2312" w:hAnsi="仿宋_GB2312" w:eastAsia="仿宋_GB2312" w:cs="仿宋_GB2312"/>
          <w:sz w:val="32"/>
          <w:szCs w:val="32"/>
          <w:highlight w:val="none"/>
        </w:rPr>
        <w:t>；</w:t>
      </w:r>
    </w:p>
    <w:p>
      <w:pP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）土地使用权出让年</w:t>
      </w:r>
      <w:r>
        <w:rPr>
          <w:rFonts w:hint="eastAsia" w:ascii="仿宋_GB2312" w:hAnsi="仿宋_GB2312" w:eastAsia="仿宋_GB2312" w:cs="仿宋_GB2312"/>
          <w:sz w:val="32"/>
          <w:szCs w:val="32"/>
          <w:highlight w:val="none"/>
          <w:lang w:val="en-US" w:eastAsia="zh-CN"/>
        </w:rPr>
        <w:t>限</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50年</w:t>
      </w:r>
      <w:r>
        <w:rPr>
          <w:rFonts w:hint="eastAsia" w:ascii="仿宋_GB2312" w:hAnsi="仿宋_GB2312" w:eastAsia="仿宋_GB2312" w:cs="仿宋_GB2312"/>
          <w:sz w:val="32"/>
          <w:szCs w:val="32"/>
          <w:highlight w:val="none"/>
        </w:rPr>
        <w:t>；</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产业类型</w:t>
      </w:r>
      <w:r>
        <w:rPr>
          <w:rFonts w:hint="eastAsia" w:ascii="仿宋_GB2312" w:hAnsi="仿宋_GB2312" w:eastAsia="仿宋_GB2312" w:cs="仿宋_GB2312"/>
          <w:sz w:val="32"/>
          <w:szCs w:val="32"/>
          <w:highlight w:val="none"/>
        </w:rPr>
        <w:t>：电气机械和器材制造业用地；</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 动工及竣工时间：该地块动工时间为地块交付之日起一年内，竣工时间为土地交付之日起三年内（因不可抗拒因素除外）；</w:t>
      </w:r>
    </w:p>
    <w:p>
      <w:pPr>
        <w:tabs>
          <w:tab w:val="left" w:pos="3388"/>
        </w:tabs>
        <w:spacing w:line="560" w:lineRule="exact"/>
        <w:jc w:val="left"/>
        <w:rPr>
          <w:rFonts w:hint="eastAsia" w:ascii="Times New Roman" w:hAnsi="Times New Roman" w:eastAsia="仿宋_GB2312"/>
          <w:sz w:val="30"/>
          <w:szCs w:val="30"/>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）本地块交付时间为《国有土地使用权出让合同》签订之日。 </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（一）</w:t>
      </w:r>
      <w:r>
        <w:rPr>
          <w:rFonts w:hint="eastAsia" w:ascii="仿宋_GB2312" w:hAnsi="仿宋_GB2312" w:eastAsia="仿宋_GB2312" w:cs="仿宋_GB2312"/>
          <w:sz w:val="32"/>
          <w:szCs w:val="32"/>
          <w:highlight w:val="none"/>
          <w:lang w:eastAsia="zh-CN"/>
        </w:rPr>
        <w:t>开发投资总额不少于人民币</w:t>
      </w:r>
      <w:r>
        <w:rPr>
          <w:rFonts w:hint="eastAsia" w:ascii="仿宋_GB2312" w:hAnsi="宋体" w:eastAsia="仿宋_GB2312" w:cs="宋体"/>
          <w:color w:val="auto"/>
          <w:kern w:val="0"/>
          <w:sz w:val="32"/>
          <w:szCs w:val="32"/>
          <w:highlight w:val="none"/>
          <w:lang w:val="en-US" w:eastAsia="zh-CN"/>
        </w:rPr>
        <w:t>18612</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eastAsia="zh-CN"/>
        </w:rPr>
        <w:t>（含地价）。</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（二）</w:t>
      </w:r>
      <w:r>
        <w:rPr>
          <w:rFonts w:hint="eastAsia" w:ascii="仿宋_GB2312" w:hAnsi="仿宋_GB2312" w:eastAsia="仿宋_GB2312" w:cs="仿宋_GB2312"/>
          <w:sz w:val="32"/>
          <w:szCs w:val="32"/>
          <w:highlight w:val="none"/>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》（案卷编号：PB20210007）</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宋体"/>
          <w:kern w:val="0"/>
          <w:sz w:val="32"/>
          <w:szCs w:val="32"/>
          <w:highlight w:val="none"/>
          <w:lang w:val="en-US" w:eastAsia="zh-CN"/>
        </w:rPr>
        <w:t>所</w:t>
      </w:r>
      <w:r>
        <w:rPr>
          <w:rFonts w:hint="eastAsia" w:ascii="仿宋_GB2312" w:hAnsi="宋体" w:eastAsia="仿宋_GB2312" w:cs="宋体"/>
          <w:kern w:val="0"/>
          <w:sz w:val="32"/>
          <w:szCs w:val="32"/>
          <w:lang w:val="en-US" w:eastAsia="zh-CN"/>
        </w:rPr>
        <w:t>报总平面图的主要技术经济指标：规划布局2栋厂房和1栋宿舍。</w:t>
      </w:r>
      <w:r>
        <w:rPr>
          <w:rFonts w:hint="eastAsia" w:ascii="仿宋_GB2312" w:hAnsi="宋体" w:eastAsia="仿宋_GB2312" w:cs="宋体"/>
          <w:kern w:val="0"/>
          <w:sz w:val="32"/>
          <w:szCs w:val="32"/>
          <w:lang w:eastAsia="zh-CN"/>
        </w:rPr>
        <w:t>计算指标用地面积为12408平方米，容积率3.5，建筑密度35%（配套设施用地面积占比6.06%），绿地率15%，计容积率建筑面积43428平方米（配套设施计容面积占19.18%），总建筑面积48700.4平方米，地下建筑面积5272.4平方米（应建防空地下室751.57平方米），机动停车位154个（地下130、地上24）。各项指标符合《</w:t>
      </w:r>
      <w:r>
        <w:rPr>
          <w:rFonts w:hint="eastAsia" w:ascii="仿宋_GB2312" w:hAnsi="仿宋_GB2312" w:eastAsia="仿宋_GB2312" w:cs="仿宋_GB2312"/>
          <w:sz w:val="32"/>
          <w:szCs w:val="32"/>
          <w:lang w:val="en-US" w:eastAsia="zh-CN"/>
        </w:rPr>
        <w:t>建设用地规划设计条件</w:t>
      </w:r>
      <w:r>
        <w:rPr>
          <w:rFonts w:hint="eastAsia" w:ascii="仿宋_GB2312" w:hAnsi="宋体" w:eastAsia="仿宋_GB2312" w:cs="宋体"/>
          <w:kern w:val="0"/>
          <w:sz w:val="32"/>
          <w:szCs w:val="32"/>
          <w:lang w:eastAsia="zh-CN"/>
        </w:rPr>
        <w:t>》(案卷号：PB20210007)要求，</w:t>
      </w:r>
      <w:r>
        <w:rPr>
          <w:rFonts w:hint="eastAsia" w:ascii="仿宋_GB2312" w:hAnsi="仿宋_GB2312" w:eastAsia="仿宋_GB2312" w:cs="仿宋_GB2312"/>
          <w:sz w:val="32"/>
          <w:szCs w:val="32"/>
          <w:lang w:val="en-US" w:eastAsia="zh-CN"/>
        </w:rPr>
        <w:t>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（五）招商条件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资强度不低于15000元/平方米，土地产出率（营业收入）不低于19230元/平方米/年，税收产出不低于1150元/平方米/年。其中，土地产出率及税收产出，在项目投产后3年内逐年考核，3年内的平均值不得低于上述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kern w:val="2"/>
          <w:sz w:val="32"/>
          <w:szCs w:val="32"/>
          <w:highlight w:val="none"/>
          <w:lang w:val="en-US" w:eastAsia="zh-CN" w:bidi="ar-SA"/>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000000"/>
          <w:kern w:val="0"/>
          <w:sz w:val="32"/>
          <w:szCs w:val="32"/>
          <w:highlight w:val="none"/>
        </w:rPr>
        <w:t>竞得人需</w:t>
      </w:r>
      <w:r>
        <w:rPr>
          <w:rFonts w:hint="eastAsia" w:ascii="仿宋_GB2312" w:hAnsi="仿宋_GB2312" w:eastAsia="仿宋_GB2312" w:cs="仿宋_GB2312"/>
          <w:b w:val="0"/>
          <w:bCs w:val="0"/>
          <w:color w:val="000000"/>
          <w:kern w:val="0"/>
          <w:sz w:val="32"/>
          <w:szCs w:val="32"/>
          <w:highlight w:val="none"/>
          <w:lang w:val="en-US" w:eastAsia="zh-CN"/>
        </w:rPr>
        <w:t>按照供电设计相关规范要求，在地块内</w:t>
      </w:r>
      <w:r>
        <w:rPr>
          <w:rFonts w:hint="eastAsia" w:ascii="仿宋_GB2312" w:hAnsi="仿宋_GB2312" w:eastAsia="仿宋_GB2312" w:cs="仿宋_GB2312"/>
          <w:b w:val="0"/>
          <w:bCs w:val="0"/>
          <w:color w:val="000000"/>
          <w:kern w:val="0"/>
          <w:sz w:val="32"/>
          <w:szCs w:val="32"/>
          <w:highlight w:val="none"/>
          <w:lang w:eastAsia="zh-CN"/>
        </w:rPr>
        <w:t>承担建筑面积≥</w:t>
      </w:r>
      <w:r>
        <w:rPr>
          <w:rFonts w:hint="eastAsia" w:ascii="仿宋_GB2312" w:hAnsi="仿宋_GB2312" w:eastAsia="仿宋_GB2312" w:cs="仿宋_GB2312"/>
          <w:b w:val="0"/>
          <w:bCs w:val="0"/>
          <w:color w:val="000000"/>
          <w:kern w:val="0"/>
          <w:sz w:val="32"/>
          <w:szCs w:val="32"/>
          <w:highlight w:val="none"/>
          <w:lang w:val="en-US" w:eastAsia="zh-CN"/>
        </w:rPr>
        <w:t>90㎡、建筑单独占地面积≥90㎡的园区供电开关站配套用房建设，建成后无偿移交给惠城区政府相关部门使用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）竞得人在签订《成交确认书》前,须与惠州市惠城区高新科技产业园管理委员会签订《</w:t>
      </w:r>
      <w:r>
        <w:rPr>
          <w:rFonts w:hint="eastAsia" w:ascii="仿宋_GB2312" w:hAnsi="仿宋_GB2312" w:eastAsia="仿宋_GB2312" w:cs="仿宋_GB2312"/>
          <w:color w:val="auto"/>
          <w:sz w:val="32"/>
          <w:szCs w:val="32"/>
          <w:highlight w:val="none"/>
          <w:lang w:eastAsia="zh-CN"/>
        </w:rPr>
        <w:t>惠城区工业项目实施监管协议书</w:t>
      </w:r>
      <w:r>
        <w:rPr>
          <w:rFonts w:hint="eastAsia" w:ascii="仿宋_GB2312" w:hAnsi="仿宋_GB2312" w:eastAsia="仿宋_GB2312" w:cs="仿宋_GB2312"/>
          <w:color w:val="auto"/>
          <w:sz w:val="32"/>
          <w:szCs w:val="32"/>
          <w:highlight w:val="none"/>
        </w:rPr>
        <w:t>》，并由惠州市惠城区高新科技产业园管理委员会对项目用地实施批后监管。</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中华人民共和国境内外的法人和其他组织（除法律法规另有规定外），均可申请参加竞买。申请人可以单独申请，也可以联合申请。申请人还应具备下列条件：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竞买人缴交的竞买保证金为人民币375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kern w:val="0"/>
          <w:sz w:val="32"/>
          <w:szCs w:val="32"/>
          <w:highlight w:val="none"/>
        </w:rPr>
        <w:t>。</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5、至报名日止仍拖欠政府地价款的。</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竞得人有下列行为之一的，视为违约，取消竞得人资格，</w:t>
      </w:r>
      <w:r>
        <w:rPr>
          <w:rFonts w:hint="eastAsia" w:ascii="仿宋_GB2312" w:hAnsi="仿宋_GB2312" w:eastAsia="仿宋_GB2312" w:cs="仿宋_GB2312"/>
          <w:sz w:val="32"/>
          <w:szCs w:val="32"/>
          <w:highlight w:val="none"/>
          <w:lang w:val="en-US" w:eastAsia="zh-CN"/>
        </w:rPr>
        <w:t>定金不予退还,</w:t>
      </w:r>
      <w:r>
        <w:rPr>
          <w:rFonts w:hint="eastAsia" w:ascii="仿宋_GB2312" w:hAnsi="仿宋_GB2312" w:eastAsia="仿宋_GB2312" w:cs="仿宋_GB2312"/>
          <w:sz w:val="32"/>
          <w:szCs w:val="32"/>
          <w:highlight w:val="none"/>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（一）不符合竞买资格条件的。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七、网上挂牌出让地块的起始价、增加幅度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壹仟贰佰伍拾</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kern w:val="0"/>
          <w:sz w:val="32"/>
          <w:szCs w:val="32"/>
          <w:highlight w:val="none"/>
          <w:u w:val="single"/>
          <w:lang w:val="en-US" w:eastAsia="zh-CN"/>
        </w:rPr>
        <w:t>1250</w:t>
      </w:r>
      <w:r>
        <w:rPr>
          <w:rFonts w:hint="eastAsia" w:ascii="仿宋_GB2312" w:hAnsi="仿宋_GB2312" w:eastAsia="仿宋_GB2312" w:cs="仿宋_GB2312"/>
          <w:color w:val="auto"/>
          <w:sz w:val="32"/>
          <w:szCs w:val="32"/>
          <w:highlight w:val="none"/>
        </w:rPr>
        <w:t>万元）,增价幅度为人民币</w:t>
      </w:r>
      <w:r>
        <w:rPr>
          <w:rFonts w:hint="eastAsia" w:ascii="仿宋_GB2312" w:hAnsi="仿宋_GB2312" w:eastAsia="仿宋_GB2312" w:cs="仿宋_GB2312"/>
          <w:color w:val="auto"/>
          <w:sz w:val="32"/>
          <w:szCs w:val="32"/>
          <w:highlight w:val="none"/>
          <w:u w:val="single"/>
          <w:lang w:val="en-US" w:eastAsia="zh-CN"/>
        </w:rPr>
        <w:t>伍拾</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0</w:t>
      </w:r>
      <w:r>
        <w:rPr>
          <w:rFonts w:hint="eastAsia" w:ascii="仿宋_GB2312" w:hAnsi="仿宋_GB2312" w:eastAsia="仿宋_GB2312" w:cs="仿宋_GB2312"/>
          <w:color w:val="auto"/>
          <w:sz w:val="32"/>
          <w:szCs w:val="32"/>
          <w:highlight w:val="none"/>
        </w:rPr>
        <w:t>万元）。</w:t>
      </w:r>
    </w:p>
    <w:p>
      <w:pPr>
        <w:tabs>
          <w:tab w:val="left" w:pos="3388"/>
        </w:tabs>
        <w:spacing w:line="560" w:lineRule="exact"/>
        <w:jc w:val="left"/>
        <w:rPr>
          <w:rFonts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10时。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》（案卷编号：PB20210007）</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pStyle w:val="2"/>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8、</w:t>
      </w:r>
      <w:r>
        <w:rPr>
          <w:rFonts w:hint="eastAsia" w:ascii="仿宋_GB2312" w:hAnsi="仿宋_GB2312" w:eastAsia="仿宋_GB2312" w:cs="仿宋_GB2312"/>
          <w:kern w:val="2"/>
          <w:sz w:val="32"/>
          <w:szCs w:val="32"/>
          <w:highlight w:val="none"/>
          <w:lang w:val="en-US" w:eastAsia="zh-CN" w:bidi="ar-SA"/>
        </w:rPr>
        <w:t>《惠城区工业项目实施监管协议书》</w:t>
      </w:r>
    </w:p>
    <w:p>
      <w:pPr>
        <w:tabs>
          <w:tab w:val="left" w:pos="3388"/>
        </w:tabs>
        <w:spacing w:line="560" w:lineRule="exact"/>
        <w:ind w:left="0" w:leftChars="0" w:firstLine="640" w:firstLineChars="200"/>
        <w:jc w:val="left"/>
        <w:rPr>
          <w:highlight w:val="none"/>
        </w:rPr>
      </w:pPr>
      <w:r>
        <w:rPr>
          <w:rFonts w:hint="eastAsia" w:ascii="仿宋_GB2312" w:hAnsi="仿宋_GB2312" w:eastAsia="仿宋_GB2312" w:cs="仿宋_GB2312"/>
          <w:sz w:val="32"/>
          <w:szCs w:val="32"/>
          <w:highlight w:val="none"/>
          <w:lang w:val="en-US" w:eastAsia="zh-CN"/>
        </w:rPr>
        <w:t>9、其他相关文件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highlight w:val="none"/>
        </w:rPr>
      </w:pPr>
      <w:bookmarkStart w:id="4" w:name="103"/>
      <w:bookmarkEnd w:id="4"/>
      <w:r>
        <w:rPr>
          <w:rFonts w:hint="eastAsia" w:ascii="仿宋_GB2312" w:hAnsi="仿宋_GB2312" w:eastAsia="仿宋_GB2312" w:cs="仿宋_GB2312"/>
          <w:b/>
          <w:bCs/>
          <w:sz w:val="32"/>
          <w:szCs w:val="32"/>
          <w:highlight w:val="none"/>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9时整，竞买保证金为人民币</w:t>
      </w:r>
      <w:r>
        <w:rPr>
          <w:rFonts w:hint="eastAsia" w:ascii="仿宋_GB2312" w:hAnsi="仿宋_GB2312" w:eastAsia="仿宋_GB2312" w:cs="仿宋_GB2312"/>
          <w:color w:val="auto"/>
          <w:sz w:val="32"/>
          <w:szCs w:val="32"/>
          <w:highlight w:val="none"/>
          <w:u w:val="single"/>
          <w:lang w:val="en-US" w:eastAsia="zh-CN"/>
        </w:rPr>
        <w:t>叁佰柒拾伍万</w:t>
      </w:r>
      <w:r>
        <w:rPr>
          <w:rFonts w:hint="eastAsia" w:ascii="仿宋_GB2312" w:hAnsi="仿宋_GB2312" w:eastAsia="仿宋_GB2312" w:cs="仿宋_GB2312"/>
          <w:color w:val="auto"/>
          <w:sz w:val="32"/>
          <w:szCs w:val="32"/>
          <w:highlight w:val="none"/>
          <w:u w:val="single"/>
        </w:rPr>
        <w:t>元整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375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10、中国光大银行股份有限公司惠州分行。</w:t>
      </w:r>
    </w:p>
    <w:p>
      <w:pPr>
        <w:tabs>
          <w:tab w:val="left" w:pos="3388"/>
        </w:tabs>
        <w:spacing w:line="560" w:lineRule="exact"/>
        <w:ind w:firstLine="640" w:firstLineChars="200"/>
        <w:jc w:val="left"/>
        <w:rPr>
          <w:rFonts w:hint="eastAsia"/>
          <w:highlight w:val="none"/>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中信银行股份有限公司惠州分行。(备注:中信银行股份有限公司惠州分行本行</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网上报价规则</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3、报价不符合报价规则的。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4、报价低于网上挂牌起始价的。</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（五）网上挂牌截止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2、网上挂牌交易</w:t>
      </w:r>
      <w:r>
        <w:rPr>
          <w:rFonts w:hint="eastAsia" w:ascii="仿宋_GB2312" w:hAnsi="仿宋_GB2312" w:eastAsia="仿宋_GB2312" w:cs="仿宋_GB2312"/>
          <w:sz w:val="32"/>
          <w:szCs w:val="32"/>
          <w:highlight w:val="none"/>
          <w:lang w:val="en-US" w:eastAsia="zh-CN"/>
        </w:rPr>
        <w:t>期限截止时，无人报价的，挂牌不成交</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3、网上挂牌交易</w:t>
      </w:r>
      <w:r>
        <w:rPr>
          <w:rFonts w:hint="eastAsia" w:ascii="仿宋_GB2312" w:hAnsi="仿宋_GB2312" w:eastAsia="仿宋_GB2312" w:cs="仿宋_GB2312"/>
          <w:sz w:val="32"/>
          <w:szCs w:val="32"/>
          <w:highlight w:val="none"/>
          <w:lang w:val="en-US" w:eastAsia="zh-CN"/>
        </w:rPr>
        <w:t>期限截止时，只有1个竞买人报价，且报价不低于起始价的，挂牌成交，该报价者为竞得人。</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hint="eastAsia" w:eastAsia="仿宋_GB2312"/>
          <w:highlight w:val="none"/>
          <w:lang w:val="en-US" w:eastAsia="zh-CN"/>
        </w:rPr>
      </w:pPr>
      <w:r>
        <w:rPr>
          <w:rFonts w:hint="eastAsia" w:ascii="仿宋_GB2312" w:hAnsi="仿宋_GB2312" w:eastAsia="仿宋_GB2312" w:cs="仿宋_GB2312"/>
          <w:sz w:val="32"/>
          <w:szCs w:val="32"/>
          <w:highlight w:val="none"/>
        </w:rPr>
        <w:t xml:space="preserve">     网上限时竞价中无人报价的，以网上挂牌截止时出价最高</w:t>
      </w:r>
      <w:r>
        <w:rPr>
          <w:rFonts w:hint="eastAsia" w:ascii="仿宋_GB2312" w:hAnsi="仿宋_GB2312" w:eastAsia="仿宋_GB2312" w:cs="仿宋_GB2312"/>
          <w:sz w:val="32"/>
          <w:szCs w:val="32"/>
          <w:highlight w:val="none"/>
          <w:lang w:val="en-US" w:eastAsia="zh-CN"/>
        </w:rPr>
        <w:t>且报价不低于起始价者</w:t>
      </w:r>
      <w:r>
        <w:rPr>
          <w:rFonts w:hint="eastAsia" w:ascii="仿宋_GB2312" w:hAnsi="仿宋_GB2312" w:eastAsia="仿宋_GB2312" w:cs="仿宋_GB2312"/>
          <w:sz w:val="32"/>
          <w:szCs w:val="32"/>
          <w:highlight w:val="none"/>
        </w:rPr>
        <w:t>为竞得人。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经网上挂牌交易系统询问完毕后，没有竞买人表示愿意继续竞价的，</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网上挂牌交易</w:t>
      </w:r>
      <w:r>
        <w:rPr>
          <w:rFonts w:hint="eastAsia" w:ascii="仿宋_GB2312" w:hAnsi="仿宋_GB2312" w:eastAsia="仿宋_GB2312" w:cs="仿宋_GB2312"/>
          <w:sz w:val="32"/>
          <w:szCs w:val="32"/>
          <w:highlight w:val="none"/>
          <w:lang w:val="en-US" w:eastAsia="zh-CN"/>
        </w:rPr>
        <w:t>截止时报价最高且报价不低于起始价者为竞得人。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资格审查和签订《成交确认书》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shd w:val="clear" w:color="auto" w:fill="auto"/>
        </w:rPr>
        <w:t>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符合竞买资格的，竞得人应当在网上挂牌交易信息结果公布之日起5个工作日内签订《成交确认书》</w:t>
      </w:r>
      <w:bookmarkStart w:id="8" w:name="_GoBack"/>
      <w:bookmarkEnd w:id="8"/>
      <w:r>
        <w:rPr>
          <w:rFonts w:hint="eastAsia" w:ascii="仿宋_GB2312" w:hAnsi="仿宋_GB2312" w:eastAsia="仿宋_GB2312" w:cs="仿宋_GB2312"/>
          <w:sz w:val="32"/>
          <w:szCs w:val="32"/>
          <w:highlight w:val="none"/>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惠城区工业项目实施监管协议书</w:t>
      </w:r>
      <w:r>
        <w:rPr>
          <w:rFonts w:hint="eastAsia" w:ascii="仿宋_GB2312" w:hAnsi="宋体" w:eastAsia="仿宋_GB2312" w:cs="宋体"/>
          <w:color w:val="auto"/>
          <w:kern w:val="0"/>
          <w:sz w:val="32"/>
          <w:szCs w:val="32"/>
          <w:highlight w:val="none"/>
        </w:rPr>
        <w:t>》。</w:t>
      </w:r>
    </w:p>
    <w:p>
      <w:pP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须提交惠城区发改局出具的与该宗地块规划确定的产业类型一致的优先发展产业项目文件。</w:t>
      </w:r>
    </w:p>
    <w:p>
      <w:pPr>
        <w:pStyle w:val="2"/>
        <w:ind w:left="0" w:leftChars="0" w:firstLine="640" w:firstLineChars="200"/>
        <w:rPr>
          <w:rFonts w:hint="eastAsia"/>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）项材料须使用本中心标准样本，可在本系统的“挂牌文件”中下载。</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上述文件中，申请书必须用中文书写，其他文件可以使用其它语言，但必须附中文译本，所有文件的解释以中文译本为准。</w:t>
      </w:r>
    </w:p>
    <w:p>
      <w:pPr>
        <w:pStyle w:val="2"/>
        <w:ind w:left="0" w:leftChars="0" w:firstLine="640" w:firstLineChars="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3、经审查，符合</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b w:val="0"/>
          <w:bCs w:val="0"/>
          <w:sz w:val="32"/>
          <w:szCs w:val="32"/>
          <w:highlight w:val="none"/>
          <w:lang w:val="en-US" w:eastAsia="zh-CN"/>
        </w:rPr>
        <w:t>资格的，竞得人应当按挂牌文件的约定时间与本中心及出让人签订《成交确认书》；经审查，不符合竞买资格的，按本须知第六条处理。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color w:val="auto"/>
          <w:kern w:val="0"/>
          <w:sz w:val="32"/>
          <w:szCs w:val="32"/>
          <w:highlight w:val="none"/>
        </w:rPr>
        <w:t>即新公司的股东必须100%是竞买申请企业作为法人的股东</w:t>
      </w:r>
      <w:r>
        <w:rPr>
          <w:rFonts w:hint="eastAsia" w:ascii="仿宋_GB2312" w:hAnsi="仿宋_GB2312" w:eastAsia="仿宋_GB2312" w:cs="仿宋_GB2312"/>
          <w:sz w:val="32"/>
          <w:szCs w:val="32"/>
          <w:highlight w:val="none"/>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网上挂牌系统确定成交后，竞得人缴纳的竞买保证金按成交价的20%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未竞得人缴纳的竞买保证金将于电子挂牌交易活动结束之日起5个工作日内带齐相关资料（《保证金到账通知书》、保证金进账单等）到本中心退还保证金，不计利息。</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《成交确认书》签订之日起5个工作日内竞得人须与出让人签订《出让合同》。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ascii="仿宋_GB2312" w:eastAsia="仿宋_GB2312"/>
          <w:highlight w:val="none"/>
        </w:rPr>
      </w:pPr>
      <w:r>
        <w:rPr>
          <w:rFonts w:hint="eastAsia" w:ascii="仿宋_GB2312" w:hAnsi="仿宋_GB2312" w:eastAsia="仿宋_GB2312" w:cs="仿宋_GB2312"/>
          <w:sz w:val="32"/>
          <w:szCs w:val="32"/>
          <w:highlight w:val="none"/>
        </w:rPr>
        <w:t xml:space="preserve">    </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惠州</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惠城区</w:t>
      </w:r>
      <w:r>
        <w:rPr>
          <w:rFonts w:hint="eastAsia" w:ascii="仿宋_GB2312" w:eastAsia="仿宋_GB2312"/>
          <w:sz w:val="32"/>
          <w:szCs w:val="32"/>
          <w:highlight w:val="none"/>
        </w:rPr>
        <w:t>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pStyle w:val="2"/>
        <w:rPr>
          <w:highlight w:val="none"/>
        </w:rPr>
      </w:pPr>
    </w:p>
    <w:p>
      <w:pPr>
        <w:pStyle w:val="2"/>
        <w:rPr>
          <w:highlight w:val="none"/>
        </w:rPr>
      </w:pPr>
    </w:p>
    <w:p>
      <w:pPr>
        <w:tabs>
          <w:tab w:val="left" w:pos="3388"/>
        </w:tabs>
        <w:ind w:firstLine="4640" w:firstLineChars="14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2021年9月10日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42C6BAB"/>
    <w:rsid w:val="04BB2A35"/>
    <w:rsid w:val="04F7599A"/>
    <w:rsid w:val="054F511E"/>
    <w:rsid w:val="05616BEE"/>
    <w:rsid w:val="05AA6043"/>
    <w:rsid w:val="065D58C0"/>
    <w:rsid w:val="06E22DF8"/>
    <w:rsid w:val="071F73B3"/>
    <w:rsid w:val="077D5D24"/>
    <w:rsid w:val="0785195C"/>
    <w:rsid w:val="07F629A0"/>
    <w:rsid w:val="091E26EA"/>
    <w:rsid w:val="09317644"/>
    <w:rsid w:val="0A812477"/>
    <w:rsid w:val="0B1406EF"/>
    <w:rsid w:val="0C40433F"/>
    <w:rsid w:val="0DCB3B54"/>
    <w:rsid w:val="0FB217AF"/>
    <w:rsid w:val="0FB2799E"/>
    <w:rsid w:val="10152918"/>
    <w:rsid w:val="105A2768"/>
    <w:rsid w:val="10A1573B"/>
    <w:rsid w:val="10B43BC1"/>
    <w:rsid w:val="111E117E"/>
    <w:rsid w:val="11A17A14"/>
    <w:rsid w:val="12295A9F"/>
    <w:rsid w:val="14924D3E"/>
    <w:rsid w:val="15BB632B"/>
    <w:rsid w:val="15C4392F"/>
    <w:rsid w:val="15D340EA"/>
    <w:rsid w:val="16615977"/>
    <w:rsid w:val="168C318D"/>
    <w:rsid w:val="16AE6DA7"/>
    <w:rsid w:val="170F4C1C"/>
    <w:rsid w:val="18220C10"/>
    <w:rsid w:val="1960257D"/>
    <w:rsid w:val="19D941D6"/>
    <w:rsid w:val="1CB6407B"/>
    <w:rsid w:val="1DE56E00"/>
    <w:rsid w:val="1E4A3E3B"/>
    <w:rsid w:val="1EA7132F"/>
    <w:rsid w:val="1ED73189"/>
    <w:rsid w:val="1F1E4268"/>
    <w:rsid w:val="20855E22"/>
    <w:rsid w:val="21587C67"/>
    <w:rsid w:val="22082DFD"/>
    <w:rsid w:val="22463965"/>
    <w:rsid w:val="22661D8C"/>
    <w:rsid w:val="22DC01FC"/>
    <w:rsid w:val="23141DA3"/>
    <w:rsid w:val="247C6354"/>
    <w:rsid w:val="259D34B7"/>
    <w:rsid w:val="25D63F7C"/>
    <w:rsid w:val="26391FD0"/>
    <w:rsid w:val="269F1053"/>
    <w:rsid w:val="272C05B0"/>
    <w:rsid w:val="282C1E6E"/>
    <w:rsid w:val="28D2352A"/>
    <w:rsid w:val="28ED736B"/>
    <w:rsid w:val="29220F8B"/>
    <w:rsid w:val="29DE5841"/>
    <w:rsid w:val="2A636D11"/>
    <w:rsid w:val="2AA45603"/>
    <w:rsid w:val="2B1A2077"/>
    <w:rsid w:val="2CA246FC"/>
    <w:rsid w:val="2CD752D7"/>
    <w:rsid w:val="2D027EED"/>
    <w:rsid w:val="2D2632FD"/>
    <w:rsid w:val="2DEB4267"/>
    <w:rsid w:val="2F0337D6"/>
    <w:rsid w:val="2F944F64"/>
    <w:rsid w:val="2FA2409E"/>
    <w:rsid w:val="30DB33EE"/>
    <w:rsid w:val="313D23E2"/>
    <w:rsid w:val="31880862"/>
    <w:rsid w:val="31B60A9D"/>
    <w:rsid w:val="324E22EE"/>
    <w:rsid w:val="33A33367"/>
    <w:rsid w:val="33CE0AAA"/>
    <w:rsid w:val="34B40523"/>
    <w:rsid w:val="34C41D04"/>
    <w:rsid w:val="34CD617E"/>
    <w:rsid w:val="360B04FE"/>
    <w:rsid w:val="378C6660"/>
    <w:rsid w:val="37FB7A76"/>
    <w:rsid w:val="38DE5E51"/>
    <w:rsid w:val="390E539D"/>
    <w:rsid w:val="3C4A4143"/>
    <w:rsid w:val="3C5E598F"/>
    <w:rsid w:val="3C8F0E4F"/>
    <w:rsid w:val="3CAD2EC5"/>
    <w:rsid w:val="3CB81CC8"/>
    <w:rsid w:val="3D322E34"/>
    <w:rsid w:val="3D34683B"/>
    <w:rsid w:val="3D5E1016"/>
    <w:rsid w:val="3E031FEB"/>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F1E4BBE"/>
    <w:rsid w:val="4F3537ED"/>
    <w:rsid w:val="4FFE1B2F"/>
    <w:rsid w:val="51467837"/>
    <w:rsid w:val="52132F5D"/>
    <w:rsid w:val="522263B5"/>
    <w:rsid w:val="528F1625"/>
    <w:rsid w:val="52AA5DFE"/>
    <w:rsid w:val="530F4C08"/>
    <w:rsid w:val="533F6C66"/>
    <w:rsid w:val="544F17E9"/>
    <w:rsid w:val="546D5003"/>
    <w:rsid w:val="54943EAC"/>
    <w:rsid w:val="54C11818"/>
    <w:rsid w:val="58AC5C79"/>
    <w:rsid w:val="58B217DC"/>
    <w:rsid w:val="58FE24B1"/>
    <w:rsid w:val="59693A9B"/>
    <w:rsid w:val="5A154FE3"/>
    <w:rsid w:val="5AEE4F52"/>
    <w:rsid w:val="5B1D2CCC"/>
    <w:rsid w:val="5B52670E"/>
    <w:rsid w:val="5B625B54"/>
    <w:rsid w:val="5B640509"/>
    <w:rsid w:val="5B8E3054"/>
    <w:rsid w:val="5D006096"/>
    <w:rsid w:val="5D731ABE"/>
    <w:rsid w:val="5DB15592"/>
    <w:rsid w:val="5DF81F1B"/>
    <w:rsid w:val="5DFB50B1"/>
    <w:rsid w:val="5F4C47E3"/>
    <w:rsid w:val="610A5EBF"/>
    <w:rsid w:val="61245A3C"/>
    <w:rsid w:val="6178185B"/>
    <w:rsid w:val="617F00E3"/>
    <w:rsid w:val="61C04C47"/>
    <w:rsid w:val="622A53D0"/>
    <w:rsid w:val="626D5569"/>
    <w:rsid w:val="62D03E81"/>
    <w:rsid w:val="62D41879"/>
    <w:rsid w:val="6398078D"/>
    <w:rsid w:val="648A18F5"/>
    <w:rsid w:val="64C30585"/>
    <w:rsid w:val="651C53A6"/>
    <w:rsid w:val="656B5E9D"/>
    <w:rsid w:val="65706EA5"/>
    <w:rsid w:val="659D6FA9"/>
    <w:rsid w:val="65F2007E"/>
    <w:rsid w:val="66C13377"/>
    <w:rsid w:val="68085778"/>
    <w:rsid w:val="688B43B5"/>
    <w:rsid w:val="68C832D1"/>
    <w:rsid w:val="69B07B1E"/>
    <w:rsid w:val="69E22ED5"/>
    <w:rsid w:val="6AA821A5"/>
    <w:rsid w:val="6B8A6BF3"/>
    <w:rsid w:val="6BFA1460"/>
    <w:rsid w:val="6C013F77"/>
    <w:rsid w:val="6C181FB4"/>
    <w:rsid w:val="6C197CDD"/>
    <w:rsid w:val="6C5A6DDE"/>
    <w:rsid w:val="6C611252"/>
    <w:rsid w:val="6CCC1A8E"/>
    <w:rsid w:val="6FCE2720"/>
    <w:rsid w:val="705B684C"/>
    <w:rsid w:val="714F5518"/>
    <w:rsid w:val="71AB46C8"/>
    <w:rsid w:val="74CC0B4E"/>
    <w:rsid w:val="74D35F13"/>
    <w:rsid w:val="755C76C8"/>
    <w:rsid w:val="75E43E25"/>
    <w:rsid w:val="76382CBE"/>
    <w:rsid w:val="76B47A3E"/>
    <w:rsid w:val="77A91566"/>
    <w:rsid w:val="77E167B8"/>
    <w:rsid w:val="78591F3E"/>
    <w:rsid w:val="78CA1EAE"/>
    <w:rsid w:val="7A6B4E12"/>
    <w:rsid w:val="7AE44F5D"/>
    <w:rsid w:val="7B3065F7"/>
    <w:rsid w:val="7B4F2E9A"/>
    <w:rsid w:val="7B8363CD"/>
    <w:rsid w:val="7D5207DE"/>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2021-09-08T09:04:00Z</cp:lastPrinted>
  <dcterms:modified xsi:type="dcterms:W3CDTF">2021-09-27T06:42:55Z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