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auto"/>
          <w:sz w:val="52"/>
          <w:szCs w:val="52"/>
        </w:rPr>
      </w:pPr>
      <w:r>
        <w:rPr>
          <w:rFonts w:hint="eastAsia" w:ascii="仿宋" w:hAnsi="仿宋" w:eastAsia="仿宋" w:cs="Arial"/>
          <w:b/>
          <w:bCs/>
          <w:color w:val="auto"/>
          <w:sz w:val="52"/>
          <w:szCs w:val="52"/>
        </w:rPr>
        <w:t xml:space="preserve"> 产业用地建设和使用监管协议书</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甲方：博罗县泰美镇人民政府</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法人代表： </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博自然资（用地）挂字〔2022〕29号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国有建设用地使用权出让合同电子监管号为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工业用地</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rPr>
        <w:t xml:space="preserve">1. 乙方拟在本宗地投资建设 </w:t>
      </w:r>
      <w:r>
        <w:rPr>
          <w:rFonts w:hint="eastAsia" w:ascii="仿宋" w:hAnsi="仿宋" w:eastAsia="仿宋" w:cs="Arial"/>
          <w:color w:val="auto"/>
          <w:sz w:val="32"/>
          <w:szCs w:val="32"/>
          <w:u w:val="single"/>
        </w:rPr>
        <w:t>粤港澳大湾区（广东）绿色农产品生产供应基地二期产业员工综合服务配套</w:t>
      </w:r>
      <w:r>
        <w:rPr>
          <w:rFonts w:hint="eastAsia" w:ascii="仿宋" w:hAnsi="仿宋" w:eastAsia="仿宋" w:cs="Arial"/>
          <w:color w:val="auto"/>
          <w:sz w:val="32"/>
          <w:szCs w:val="32"/>
          <w:u w:val="single"/>
          <w:lang w:val="en-US" w:eastAsia="zh-CN"/>
        </w:rPr>
        <w:t>项目</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w:t>
      </w:r>
      <w:r>
        <w:rPr>
          <w:rFonts w:hint="eastAsia" w:ascii="仿宋" w:hAnsi="仿宋" w:eastAsia="仿宋" w:cs="Arial"/>
          <w:color w:val="auto"/>
          <w:sz w:val="32"/>
          <w:szCs w:val="32"/>
          <w:lang w:val="en-US" w:eastAsia="zh-CN"/>
        </w:rPr>
        <w:t>项目建设内容</w:t>
      </w:r>
      <w:r>
        <w:rPr>
          <w:rFonts w:hint="eastAsia" w:ascii="仿宋" w:hAnsi="仿宋" w:eastAsia="仿宋" w:cs="Arial"/>
          <w:color w:val="auto"/>
          <w:sz w:val="32"/>
          <w:szCs w:val="32"/>
          <w:u w:val="single"/>
          <w:lang w:eastAsia="zh-CN"/>
        </w:rPr>
        <w:t>农产品批发集散、农产品精深加工，智能冷链仓储、中央厨房、农业流通大数据、电子商务、检测检验、进出口代理功能于一体的新型现代化绿色农产品生产供应基地的配套，包括</w:t>
      </w:r>
      <w:r>
        <w:rPr>
          <w:rFonts w:hint="eastAsia" w:ascii="仿宋" w:hAnsi="仿宋" w:eastAsia="仿宋" w:cs="Arial"/>
          <w:color w:val="auto"/>
          <w:sz w:val="32"/>
          <w:szCs w:val="32"/>
          <w:u w:val="single"/>
          <w:lang w:val="en-US" w:eastAsia="zh-CN"/>
        </w:rPr>
        <w:t>员工宿舍、公共食堂、地下室等综合服务配套，并须配备社区综合服务中心、警卫室、医疗卫生服务中心等公共服务配套用房。</w:t>
      </w:r>
      <w:r>
        <w:rPr>
          <w:rFonts w:hint="eastAsia" w:ascii="仿宋_GB2312" w:hAnsi="Times New Roman" w:eastAsia="仿宋_GB2312" w:cs="仿宋_GB2312"/>
          <w:color w:val="auto"/>
          <w:spacing w:val="0"/>
          <w:sz w:val="32"/>
          <w:szCs w:val="32"/>
          <w:u w:val="none"/>
          <w:lang w:val="en-US" w:eastAsia="zh-CN"/>
        </w:rPr>
        <w:t>地块须与周边的地块统一开发建设，所建成的房屋等配套设施不得与粤港澳大湾区（广东）绿色农产品生产供应基地二期分割</w:t>
      </w:r>
      <w:r>
        <w:rPr>
          <w:rFonts w:hint="eastAsia" w:ascii="仿宋" w:hAnsi="仿宋" w:eastAsia="仿宋" w:cs="Arial"/>
          <w:color w:val="auto"/>
          <w:sz w:val="32"/>
          <w:szCs w:val="32"/>
          <w:u w:val="none"/>
          <w:lang w:val="en-US" w:eastAsia="zh-CN"/>
        </w:rPr>
        <w:t>转让。</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3</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24 </w:t>
      </w:r>
      <w:r>
        <w:rPr>
          <w:rFonts w:hint="eastAsia" w:ascii="仿宋" w:hAnsi="仿宋" w:eastAsia="仿宋" w:cs="Arial"/>
          <w:color w:val="auto"/>
          <w:sz w:val="32"/>
          <w:szCs w:val="32"/>
          <w:u w:val="none"/>
          <w:lang w:val="en-US" w:eastAsia="zh-CN"/>
        </w:rPr>
        <w:t>个月内全部建成并投入运营</w:t>
      </w:r>
      <w:r>
        <w:rPr>
          <w:rFonts w:hint="eastAsia" w:ascii="仿宋" w:hAnsi="仿宋" w:eastAsia="仿宋" w:cs="Arial"/>
          <w:color w:val="auto"/>
          <w:sz w:val="32"/>
          <w:szCs w:val="32"/>
          <w:u w:val="none"/>
        </w:rPr>
        <w:t>，</w:t>
      </w:r>
      <w:r>
        <w:rPr>
          <w:rFonts w:hint="eastAsia" w:ascii="仿宋" w:hAnsi="仿宋" w:eastAsia="仿宋" w:cs="Arial"/>
          <w:color w:val="auto"/>
          <w:sz w:val="32"/>
          <w:szCs w:val="32"/>
          <w:u w:val="none"/>
          <w:lang w:val="en-US" w:eastAsia="zh-CN"/>
        </w:rPr>
        <w:t>并于投入运营之日起开始计算考核指标，</w:t>
      </w:r>
      <w:r>
        <w:rPr>
          <w:rFonts w:hint="eastAsia" w:ascii="仿宋" w:hAnsi="仿宋" w:eastAsia="仿宋" w:cs="Arial"/>
          <w:color w:val="auto"/>
          <w:sz w:val="32"/>
          <w:szCs w:val="32"/>
        </w:rPr>
        <w:t>正式投产之日起</w:t>
      </w:r>
      <w:r>
        <w:rPr>
          <w:rFonts w:hint="eastAsia" w:ascii="仿宋" w:hAnsi="仿宋" w:eastAsia="仿宋" w:cs="Arial"/>
          <w:color w:val="auto"/>
          <w:sz w:val="32"/>
          <w:szCs w:val="32"/>
          <w:u w:val="single"/>
          <w:lang w:val="en-US" w:eastAsia="zh-CN"/>
        </w:rPr>
        <w:t xml:space="preserve"> 24</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w:t>
      </w:r>
      <w:r>
        <w:rPr>
          <w:rFonts w:hint="eastAsia" w:ascii="仿宋" w:hAnsi="仿宋" w:eastAsia="仿宋" w:cs="Arial"/>
          <w:color w:val="auto"/>
          <w:sz w:val="32"/>
          <w:szCs w:val="32"/>
        </w:rPr>
        <w:t>达产。</w:t>
      </w:r>
      <w:r>
        <w:rPr>
          <w:rFonts w:hint="eastAsia" w:ascii="仿宋" w:hAnsi="仿宋" w:eastAsia="仿宋" w:cs="Arial"/>
          <w:color w:val="auto"/>
          <w:sz w:val="32"/>
          <w:szCs w:val="32"/>
        </w:rPr>
        <w:t>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3.乙方项目宗地面积为</w:t>
      </w:r>
      <w:r>
        <w:rPr>
          <w:rFonts w:hint="eastAsia" w:ascii="仿宋" w:hAnsi="仿宋" w:eastAsia="仿宋" w:cs="Arial"/>
          <w:color w:val="auto"/>
          <w:sz w:val="32"/>
          <w:szCs w:val="32"/>
          <w:u w:val="single"/>
          <w:lang w:val="en-US" w:eastAsia="zh-CN"/>
        </w:rPr>
        <w:t>23716</w:t>
      </w:r>
      <w:r>
        <w:rPr>
          <w:rFonts w:hint="eastAsia" w:ascii="仿宋" w:hAnsi="仿宋" w:eastAsia="仿宋" w:cs="Arial"/>
          <w:color w:val="auto"/>
          <w:sz w:val="32"/>
          <w:szCs w:val="32"/>
          <w:u w:val="single"/>
        </w:rPr>
        <w:t>平方米</w:t>
      </w:r>
      <w:r>
        <w:rPr>
          <w:rFonts w:hint="eastAsia" w:ascii="仿宋" w:hAnsi="仿宋" w:eastAsia="仿宋" w:cs="Arial"/>
          <w:color w:val="auto"/>
          <w:sz w:val="32"/>
          <w:szCs w:val="32"/>
        </w:rPr>
        <w:t>，</w:t>
      </w:r>
      <w:r>
        <w:rPr>
          <w:rFonts w:hint="eastAsia" w:ascii="仿宋_GB2312" w:hAnsi="Times New Roman" w:eastAsia="仿宋_GB2312" w:cs="仿宋_GB2312"/>
          <w:color w:val="000000"/>
          <w:spacing w:val="0"/>
          <w:sz w:val="32"/>
          <w:szCs w:val="32"/>
          <w:lang w:eastAsia="zh-CN"/>
        </w:rPr>
        <w:t>容积率</w:t>
      </w:r>
      <w:r>
        <w:rPr>
          <w:rFonts w:hint="eastAsia" w:ascii="仿宋_GB2312" w:hAnsi="Times New Roman" w:eastAsia="仿宋_GB2312" w:cs="仿宋_GB2312"/>
          <w:color w:val="000000"/>
          <w:spacing w:val="0"/>
          <w:sz w:val="32"/>
          <w:szCs w:val="32"/>
          <w:u w:val="single"/>
          <w:lang w:val="en-US" w:eastAsia="zh-CN"/>
        </w:rPr>
        <w:t>1.0-3.0</w:t>
      </w:r>
      <w:bookmarkStart w:id="0" w:name="_GoBack"/>
      <w:bookmarkEnd w:id="0"/>
      <w:r>
        <w:rPr>
          <w:rFonts w:hint="eastAsia" w:ascii="仿宋_GB2312" w:hAnsi="Times New Roman" w:eastAsia="仿宋_GB2312" w:cs="仿宋_GB2312"/>
          <w:color w:val="000000"/>
          <w:spacing w:val="0"/>
          <w:sz w:val="32"/>
          <w:szCs w:val="32"/>
          <w:u w:val="single"/>
          <w:lang w:val="en-US" w:eastAsia="zh-CN"/>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 xml:space="preserve"> 333万元/亩 </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乙方承诺：项目投入运营后，固定资产投资强度不低于</w:t>
      </w:r>
      <w:r>
        <w:rPr>
          <w:rFonts w:hint="eastAsia" w:ascii="仿宋" w:hAnsi="仿宋" w:eastAsia="仿宋" w:cs="Arial"/>
          <w:color w:val="auto"/>
          <w:sz w:val="32"/>
          <w:szCs w:val="32"/>
          <w:u w:val="single"/>
          <w:lang w:val="en-US" w:eastAsia="zh-CN"/>
        </w:rPr>
        <w:t xml:space="preserve"> 333万元/亩</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 xml:space="preserve">3. </w:t>
      </w:r>
      <w:r>
        <w:rPr>
          <w:rFonts w:hint="eastAsia" w:ascii="仿宋" w:hAnsi="仿宋" w:eastAsia="仿宋" w:cs="Arial"/>
          <w:color w:val="auto"/>
          <w:sz w:val="32"/>
          <w:szCs w:val="32"/>
          <w:lang w:val="en-US" w:eastAsia="zh-CN"/>
        </w:rPr>
        <w:t>甲方</w:t>
      </w:r>
      <w:r>
        <w:rPr>
          <w:rFonts w:hint="eastAsia" w:ascii="仿宋" w:hAnsi="仿宋" w:eastAsia="仿宋" w:cs="Arial"/>
          <w:color w:val="auto"/>
          <w:sz w:val="32"/>
          <w:szCs w:val="32"/>
        </w:rPr>
        <w:t>自</w:t>
      </w:r>
      <w:r>
        <w:rPr>
          <w:rFonts w:hint="eastAsia" w:ascii="仿宋" w:hAnsi="仿宋" w:eastAsia="仿宋" w:cs="Arial"/>
          <w:color w:val="auto"/>
          <w:sz w:val="32"/>
          <w:szCs w:val="32"/>
          <w:lang w:val="en-US" w:eastAsia="zh-CN"/>
        </w:rPr>
        <w:t>乙方</w:t>
      </w:r>
      <w:r>
        <w:rPr>
          <w:rFonts w:hint="eastAsia" w:ascii="仿宋" w:hAnsi="仿宋" w:eastAsia="仿宋" w:cs="Arial"/>
          <w:color w:val="auto"/>
          <w:sz w:val="32"/>
          <w:szCs w:val="32"/>
        </w:rPr>
        <w:t>项目</w:t>
      </w:r>
      <w:r>
        <w:rPr>
          <w:rFonts w:hint="eastAsia" w:ascii="仿宋" w:hAnsi="仿宋" w:eastAsia="仿宋" w:cs="Arial"/>
          <w:color w:val="auto"/>
          <w:sz w:val="32"/>
          <w:szCs w:val="32"/>
          <w:lang w:val="en-US" w:eastAsia="zh-CN"/>
        </w:rPr>
        <w:t>竣工验收之日</w:t>
      </w:r>
      <w:r>
        <w:rPr>
          <w:rFonts w:hint="eastAsia" w:ascii="仿宋" w:hAnsi="仿宋" w:eastAsia="仿宋" w:cs="Arial"/>
          <w:color w:val="auto"/>
          <w:sz w:val="32"/>
          <w:szCs w:val="32"/>
        </w:rPr>
        <w:t>起（以乙方向甲方书面报告时间为准），可自行或委托专业机构对乙方承诺单位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固定资产投资强度等进行核查（乙方可自行选择</w:t>
      </w:r>
      <w:r>
        <w:rPr>
          <w:rFonts w:hint="eastAsia" w:ascii="仿宋" w:hAnsi="仿宋" w:eastAsia="仿宋" w:cs="Arial"/>
          <w:color w:val="auto"/>
          <w:sz w:val="32"/>
          <w:szCs w:val="32"/>
          <w:lang w:eastAsia="zh-CN"/>
        </w:rPr>
        <w:t>自达产之日起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经甲方核查，乙方项目的固定资产投资强度达不到本协议约定要求的，自甲方出具核查不合格通知书之日起20日内，乙方应向甲方缴纳固定资产投资强度不足部分的5%，即{（约定固定资产投资强度-实际固定资产投资强度）×总用地面积×5%}作为违约金。</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lang w:val="en-US" w:eastAsia="zh-CN"/>
        </w:rPr>
        <w:t>经甲方核查，乙方项目交付使用进度、面积等达不到本协议约定要求的，自甲方出具核查不合格通知书之日起20日内，乙方应向甲方以下列方式缴纳违约金，{（约定交付面积-实际交付面积）×500元}。</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份，具有同等法律效力，甲方执</w:t>
      </w:r>
      <w:r>
        <w:rPr>
          <w:rFonts w:hint="eastAsia" w:ascii="仿宋" w:hAnsi="仿宋" w:eastAsia="仿宋" w:cs="Arial"/>
          <w:color w:val="auto"/>
          <w:sz w:val="32"/>
          <w:szCs w:val="32"/>
          <w:lang w:val="en-US" w:eastAsia="zh-CN"/>
        </w:rPr>
        <w:t>三</w:t>
      </w:r>
      <w:r>
        <w:rPr>
          <w:rFonts w:hint="eastAsia" w:ascii="仿宋" w:hAnsi="仿宋" w:eastAsia="仿宋" w:cs="Arial"/>
          <w:color w:val="auto"/>
          <w:sz w:val="32"/>
          <w:szCs w:val="32"/>
        </w:rPr>
        <w:t>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乙方执二份。本协议有效期10年，</w:t>
      </w:r>
      <w:r>
        <w:rPr>
          <w:rFonts w:hint="eastAsia" w:ascii="仿宋" w:hAnsi="仿宋" w:eastAsia="仿宋" w:cs="Arial"/>
          <w:color w:val="auto"/>
          <w:sz w:val="32"/>
          <w:szCs w:val="32"/>
        </w:rPr>
        <w:t>自甲乙双方签字盖章之日起生效。</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auto"/>
          <w:sz w:val="32"/>
          <w:szCs w:val="32"/>
        </w:rPr>
      </w:pPr>
    </w:p>
    <w:p>
      <w:pPr>
        <w:jc w:val="left"/>
        <w:rPr>
          <w:rFonts w:hint="eastAsia" w:ascii="仿宋" w:hAnsi="仿宋" w:eastAsia="仿宋" w:cs="Arial"/>
          <w:color w:val="auto"/>
          <w:sz w:val="32"/>
          <w:szCs w:val="32"/>
          <w:lang w:eastAsia="zh-CN"/>
        </w:rPr>
      </w:pPr>
    </w:p>
    <w:p>
      <w:pPr>
        <w:jc w:val="left"/>
        <w:rPr>
          <w:rFonts w:hint="eastAsia" w:ascii="仿宋" w:hAnsi="仿宋" w:eastAsia="仿宋" w:cs="Arial"/>
          <w:color w:val="auto"/>
          <w:sz w:val="32"/>
          <w:szCs w:val="32"/>
          <w:lang w:eastAsia="zh-CN"/>
        </w:rPr>
      </w:pPr>
    </w:p>
    <w:p>
      <w:pPr>
        <w:jc w:val="left"/>
        <w:rPr>
          <w:rFonts w:hint="eastAsia" w:ascii="仿宋" w:hAnsi="仿宋" w:eastAsia="仿宋" w:cs="Arial"/>
          <w:color w:val="auto"/>
          <w:sz w:val="32"/>
          <w:szCs w:val="32"/>
          <w:lang w:eastAsia="zh-CN"/>
        </w:rPr>
      </w:pPr>
    </w:p>
    <w:p>
      <w:pPr>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签署页</w:t>
      </w:r>
      <w:r>
        <w:rPr>
          <w:rFonts w:hint="eastAsia" w:ascii="仿宋" w:hAnsi="仿宋" w:eastAsia="仿宋" w:cs="Arial"/>
          <w:color w:val="auto"/>
          <w:sz w:val="32"/>
          <w:szCs w:val="32"/>
          <w:lang w:eastAsia="zh-CN"/>
        </w:rPr>
        <w:t>）</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hint="default" w:ascii="仿宋" w:hAnsi="仿宋" w:eastAsia="仿宋"/>
          <w:color w:val="auto"/>
          <w:sz w:val="32"/>
          <w:szCs w:val="32"/>
          <w:lang w:val="en-US" w:eastAsia="zh-CN"/>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F3267"/>
    <w:rsid w:val="058D105B"/>
    <w:rsid w:val="069707D5"/>
    <w:rsid w:val="0AFB74A4"/>
    <w:rsid w:val="0D6E6B0A"/>
    <w:rsid w:val="0DD218AC"/>
    <w:rsid w:val="10A174EF"/>
    <w:rsid w:val="11F42C95"/>
    <w:rsid w:val="162D2ABA"/>
    <w:rsid w:val="1A486EE5"/>
    <w:rsid w:val="1A7C0292"/>
    <w:rsid w:val="1B016B9E"/>
    <w:rsid w:val="1D000176"/>
    <w:rsid w:val="1DCF49DC"/>
    <w:rsid w:val="20EE22E3"/>
    <w:rsid w:val="22BB35C6"/>
    <w:rsid w:val="2539569D"/>
    <w:rsid w:val="276A033E"/>
    <w:rsid w:val="2B281BD0"/>
    <w:rsid w:val="2CD25BC2"/>
    <w:rsid w:val="33B67CAC"/>
    <w:rsid w:val="35B64198"/>
    <w:rsid w:val="3E976C12"/>
    <w:rsid w:val="404C0868"/>
    <w:rsid w:val="41D51388"/>
    <w:rsid w:val="4C143C4D"/>
    <w:rsid w:val="527A031B"/>
    <w:rsid w:val="545E0FB6"/>
    <w:rsid w:val="552946AF"/>
    <w:rsid w:val="56F40083"/>
    <w:rsid w:val="5D2912CC"/>
    <w:rsid w:val="5D842CB6"/>
    <w:rsid w:val="5E54563E"/>
    <w:rsid w:val="5F6723C4"/>
    <w:rsid w:val="5FA15399"/>
    <w:rsid w:val="6CAC5F15"/>
    <w:rsid w:val="6FBE2A6F"/>
    <w:rsid w:val="6FC71494"/>
    <w:rsid w:val="701A4B87"/>
    <w:rsid w:val="70F151CA"/>
    <w:rsid w:val="742852E3"/>
    <w:rsid w:val="78261C87"/>
    <w:rsid w:val="788016D5"/>
    <w:rsid w:val="79715D17"/>
    <w:rsid w:val="7EA11485"/>
    <w:rsid w:val="7EA935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List Paragraph"/>
    <w:basedOn w:val="1"/>
    <w:qFormat/>
    <w:uiPriority w:val="34"/>
    <w:pPr>
      <w:ind w:firstLine="420" w:firstLineChars="200"/>
    </w:pPr>
  </w:style>
  <w:style w:type="paragraph" w:customStyle="1" w:styleId="9">
    <w:name w:val="Char Char Char1"/>
    <w:basedOn w:val="1"/>
    <w:qFormat/>
    <w:uiPriority w:val="0"/>
    <w:rPr>
      <w:rFonts w:ascii="Calibri" w:hAnsi="Calibri" w:eastAsia="宋体" w:cs="Times New Roman"/>
      <w:szCs w:val="24"/>
    </w:rPr>
  </w:style>
  <w:style w:type="character" w:customStyle="1" w:styleId="10">
    <w:name w:val="toolbaritemover"/>
    <w:basedOn w:val="5"/>
    <w:qFormat/>
    <w:uiPriority w:val="0"/>
    <w:rPr>
      <w:shd w:val="clear" w:fill="FFE3AF"/>
    </w:rPr>
  </w:style>
  <w:style w:type="character" w:customStyle="1" w:styleId="11">
    <w:name w:val="toolbaritem"/>
    <w:basedOn w:val="5"/>
    <w:qFormat/>
    <w:uiPriority w:val="0"/>
  </w:style>
  <w:style w:type="character" w:customStyle="1" w:styleId="12">
    <w:name w:val="toolbarsep"/>
    <w:basedOn w:val="5"/>
    <w:qFormat/>
    <w:uiPriority w:val="0"/>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1655</Words>
  <Characters>1701</Characters>
  <Lines>16</Lines>
  <Paragraphs>4</Paragraphs>
  <TotalTime>0</TotalTime>
  <ScaleCrop>false</ScaleCrop>
  <LinksUpToDate>false</LinksUpToDate>
  <CharactersWithSpaces>2066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2022-04-15T01:45:00Z</cp:lastPrinted>
  <dcterms:modified xsi:type="dcterms:W3CDTF">2022-04-19T07:34:02Z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25E2EC9ED4064BE0B9D275E051E0CF13</vt:lpwstr>
  </property>
</Properties>
</file>