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FA" w:rsidRDefault="008A235B">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惠州</w:t>
      </w:r>
      <w:r>
        <w:rPr>
          <w:rFonts w:ascii="方正小标宋简体" w:eastAsia="方正小标宋简体" w:hAnsi="方正小标宋简体" w:cs="方正小标宋简体" w:hint="eastAsia"/>
          <w:sz w:val="44"/>
          <w:szCs w:val="44"/>
        </w:rPr>
        <w:t>大亚湾区</w:t>
      </w:r>
      <w:r>
        <w:rPr>
          <w:rFonts w:ascii="方正小标宋简体" w:eastAsia="方正小标宋简体" w:hAnsi="方正小标宋简体" w:cs="方正小标宋简体" w:hint="eastAsia"/>
          <w:sz w:val="44"/>
          <w:szCs w:val="44"/>
        </w:rPr>
        <w:t>国有建设用地使用权</w:t>
      </w:r>
    </w:p>
    <w:p w:rsidR="00A710FA" w:rsidRDefault="008A235B">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网上挂牌出让竞买须知</w:t>
      </w:r>
    </w:p>
    <w:p w:rsidR="00A710FA" w:rsidRDefault="008A235B">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w:t>
      </w:r>
      <w:r>
        <w:rPr>
          <w:rFonts w:ascii="宋体" w:eastAsia="宋体" w:hAnsi="宋体" w:cs="宋体" w:hint="eastAsia"/>
          <w:sz w:val="31"/>
          <w:szCs w:val="31"/>
        </w:rPr>
        <w:t>[202</w:t>
      </w:r>
      <w:r>
        <w:rPr>
          <w:rFonts w:ascii="宋体" w:eastAsia="宋体" w:hAnsi="宋体" w:cs="宋体" w:hint="eastAsia"/>
          <w:sz w:val="31"/>
          <w:szCs w:val="31"/>
        </w:rPr>
        <w:t>4</w:t>
      </w:r>
      <w:r>
        <w:rPr>
          <w:rFonts w:ascii="宋体" w:eastAsia="宋体" w:hAnsi="宋体" w:cs="宋体" w:hint="eastAsia"/>
          <w:sz w:val="31"/>
          <w:szCs w:val="31"/>
        </w:rPr>
        <w:t>]</w:t>
      </w:r>
      <w:r>
        <w:rPr>
          <w:rFonts w:ascii="宋体" w:eastAsia="宋体" w:hAnsi="宋体" w:cs="宋体" w:hint="eastAsia"/>
          <w:sz w:val="31"/>
          <w:szCs w:val="31"/>
        </w:rPr>
        <w:t>019</w:t>
      </w:r>
      <w:r>
        <w:rPr>
          <w:rFonts w:ascii="宋体" w:eastAsia="宋体" w:hAnsi="宋体" w:cs="宋体" w:hint="eastAsia"/>
          <w:sz w:val="31"/>
          <w:szCs w:val="31"/>
        </w:rPr>
        <w:t>号</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二、本宗国有建设用地使用权网上挂牌出让遵循公开、公平、公正和诚实信用原则。</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三、中华人民共和国境内外的法人和其他组织（除法律法规另有规定外），符合竞买资格的，均可通过</w:t>
      </w:r>
      <w:r>
        <w:rPr>
          <w:rFonts w:ascii="仿宋" w:eastAsia="仿宋" w:hAnsi="仿宋" w:cs="仿宋" w:hint="eastAsia"/>
          <w:sz w:val="32"/>
          <w:szCs w:val="32"/>
        </w:rPr>
        <w:t>电子交易系统</w:t>
      </w:r>
      <w:r>
        <w:rPr>
          <w:rFonts w:ascii="仿宋" w:eastAsia="仿宋" w:hAnsi="仿宋" w:cs="仿宋" w:hint="eastAsia"/>
          <w:sz w:val="32"/>
          <w:szCs w:val="32"/>
        </w:rPr>
        <w:t>，申请参加电子挂牌交易活动。</w:t>
      </w:r>
    </w:p>
    <w:p w:rsidR="00A710FA" w:rsidRDefault="008A235B">
      <w:pPr>
        <w:pStyle w:val="a4"/>
        <w:widowControl/>
        <w:ind w:firstLine="645"/>
        <w:rPr>
          <w:rFonts w:ascii="仿宋" w:eastAsia="仿宋" w:hAnsi="仿宋" w:cs="仿宋"/>
          <w:sz w:val="32"/>
          <w:szCs w:val="32"/>
        </w:rPr>
      </w:pP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国有建设用地使用权网上挂牌出让公告（以下简称“挂牌出让公告”）对竞买资格有特别要求的，以挂牌出让公告为准。</w:t>
      </w:r>
    </w:p>
    <w:p w:rsidR="00A710FA" w:rsidRDefault="008A235B">
      <w:pPr>
        <w:pStyle w:val="a4"/>
        <w:widowControl/>
        <w:ind w:firstLineChars="200" w:firstLine="640"/>
        <w:rPr>
          <w:rFonts w:ascii="仿宋" w:eastAsia="仿宋" w:hAnsi="仿宋" w:cs="仿宋"/>
          <w:sz w:val="32"/>
          <w:szCs w:val="32"/>
        </w:rPr>
      </w:pPr>
      <w:r>
        <w:rPr>
          <w:rFonts w:ascii="仿宋" w:eastAsia="仿宋" w:hAnsi="仿宋" w:cs="仿宋" w:hint="eastAsia"/>
          <w:sz w:val="32"/>
          <w:szCs w:val="32"/>
        </w:rPr>
        <w:t>四、申请人对网上挂牌出让文件有疑问的，可在网上挂牌活动开始前以书面或者口头方式向惠州市公共资源交易中心</w:t>
      </w:r>
      <w:r>
        <w:rPr>
          <w:rFonts w:ascii="仿宋" w:eastAsia="仿宋" w:hAnsi="仿宋" w:cs="仿宋" w:hint="eastAsia"/>
          <w:sz w:val="32"/>
          <w:szCs w:val="32"/>
        </w:rPr>
        <w:t>大亚湾分中心</w:t>
      </w:r>
      <w:r>
        <w:rPr>
          <w:rFonts w:ascii="仿宋" w:eastAsia="仿宋" w:hAnsi="仿宋" w:cs="仿宋" w:hint="eastAsia"/>
          <w:sz w:val="32"/>
          <w:szCs w:val="32"/>
        </w:rPr>
        <w:t>（以下简称“交易中心”）咨询。有意竞买者可自行踏勘现场（可在</w:t>
      </w:r>
      <w:r>
        <w:rPr>
          <w:rFonts w:ascii="仿宋" w:eastAsia="仿宋" w:hAnsi="仿宋" w:cs="仿宋" w:hint="eastAsia"/>
          <w:sz w:val="32"/>
          <w:szCs w:val="32"/>
        </w:rPr>
        <w:t>电子交易系统</w:t>
      </w:r>
      <w:r>
        <w:rPr>
          <w:rFonts w:ascii="仿宋" w:eastAsia="仿宋" w:hAnsi="仿宋" w:cs="仿宋" w:hint="eastAsia"/>
          <w:sz w:val="32"/>
          <w:szCs w:val="32"/>
        </w:rPr>
        <w:t>查阅位置图和现状图）。</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五、网上挂牌交易程序</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（一）发布网上挂牌信息</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有关宗地的电子挂牌出让公告等相关信息通过交易大厅的电子显示屏、中国土地市场网、广东省公共资源交易平台和</w:t>
      </w:r>
      <w:r>
        <w:rPr>
          <w:rFonts w:ascii="仿宋" w:eastAsia="仿宋" w:hAnsi="仿宋" w:cs="仿宋" w:hint="eastAsia"/>
          <w:sz w:val="32"/>
          <w:szCs w:val="32"/>
        </w:rPr>
        <w:t>电子交易系统</w:t>
      </w:r>
      <w:r>
        <w:rPr>
          <w:rFonts w:ascii="仿宋" w:eastAsia="仿宋" w:hAnsi="仿宋" w:cs="仿宋" w:hint="eastAsia"/>
          <w:sz w:val="32"/>
          <w:szCs w:val="32"/>
        </w:rPr>
        <w:t>等媒介同步发布。</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有意竞买者可登录</w:t>
      </w:r>
      <w:r>
        <w:rPr>
          <w:rFonts w:ascii="仿宋" w:eastAsia="仿宋" w:hAnsi="仿宋" w:cs="仿宋" w:hint="eastAsia"/>
          <w:sz w:val="32"/>
          <w:szCs w:val="32"/>
        </w:rPr>
        <w:t>电子交易系统</w:t>
      </w:r>
      <w:r>
        <w:rPr>
          <w:rFonts w:ascii="仿宋" w:eastAsia="仿宋" w:hAnsi="仿宋" w:cs="仿宋" w:hint="eastAsia"/>
          <w:sz w:val="32"/>
          <w:szCs w:val="32"/>
        </w:rPr>
        <w:t>网站</w:t>
      </w:r>
      <w:r>
        <w:rPr>
          <w:rFonts w:ascii="仿宋" w:eastAsia="仿宋" w:hAnsi="仿宋" w:cs="仿宋" w:hint="eastAsia"/>
          <w:sz w:val="32"/>
          <w:szCs w:val="32"/>
        </w:rPr>
        <w:t>(</w:t>
      </w:r>
      <w:r>
        <w:rPr>
          <w:rFonts w:ascii="仿宋" w:eastAsia="仿宋" w:hAnsi="仿宋" w:cs="仿宋" w:hint="eastAsia"/>
          <w:sz w:val="32"/>
          <w:szCs w:val="32"/>
        </w:rPr>
        <w:t>https://tdky.hzggzyjy.cn/</w:t>
      </w:r>
      <w:r>
        <w:rPr>
          <w:rFonts w:ascii="仿宋" w:eastAsia="仿宋" w:hAnsi="仿宋" w:cs="仿宋" w:hint="eastAsia"/>
          <w:sz w:val="32"/>
          <w:szCs w:val="32"/>
        </w:rPr>
        <w:t>)</w:t>
      </w:r>
      <w:r>
        <w:rPr>
          <w:rFonts w:ascii="仿宋" w:eastAsia="仿宋" w:hAnsi="仿宋" w:cs="仿宋" w:hint="eastAsia"/>
          <w:sz w:val="32"/>
          <w:szCs w:val="32"/>
        </w:rPr>
        <w:t>查询。</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（二）挂牌文件获取</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申请人可在</w:t>
      </w:r>
      <w:r>
        <w:rPr>
          <w:rFonts w:ascii="仿宋" w:eastAsia="仿宋" w:hAnsi="仿宋" w:cs="仿宋" w:hint="eastAsia"/>
          <w:sz w:val="32"/>
          <w:szCs w:val="32"/>
        </w:rPr>
        <w:t>电子交易系统</w:t>
      </w:r>
      <w:r>
        <w:rPr>
          <w:rFonts w:ascii="仿宋" w:eastAsia="仿宋" w:hAnsi="仿宋" w:cs="仿宋" w:hint="eastAsia"/>
          <w:sz w:val="32"/>
          <w:szCs w:val="32"/>
        </w:rPr>
        <w:t>浏览和下载本宗地网上挂牌出让文件，具体包括：</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国有建设用地使用权网上挂牌出让公告；</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国有建设用地使用权网上挂牌出让竞买须知；</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、挂牌出让地块现状图；</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、建设用地红线界限图；</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、规划设计条件告知书；</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、国有建设用地使用权网上挂牌成交确认书（样本）；</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、国有建设用地使用权出让合同（样本）；</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、其他相关文件。</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（三）办理数字证书</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、本宗国有建设用地使用权网上挂牌出让只能在互联</w:t>
      </w:r>
      <w:r>
        <w:rPr>
          <w:rFonts w:ascii="仿宋" w:eastAsia="仿宋" w:hAnsi="仿宋" w:cs="仿宋" w:hint="eastAsia"/>
          <w:sz w:val="32"/>
          <w:szCs w:val="32"/>
        </w:rPr>
        <w:lastRenderedPageBreak/>
        <w:t>网上，通过</w:t>
      </w:r>
      <w:r>
        <w:rPr>
          <w:rFonts w:ascii="仿宋" w:eastAsia="仿宋" w:hAnsi="仿宋" w:cs="仿宋" w:hint="eastAsia"/>
          <w:sz w:val="32"/>
          <w:szCs w:val="32"/>
        </w:rPr>
        <w:t>电子交易系统</w:t>
      </w:r>
      <w:r>
        <w:rPr>
          <w:rFonts w:ascii="仿宋" w:eastAsia="仿宋" w:hAnsi="仿宋" w:cs="仿宋" w:hint="eastAsia"/>
          <w:sz w:val="32"/>
          <w:szCs w:val="32"/>
        </w:rPr>
        <w:t>进行。只有通过网上注册、办理数字证书、按要求足额交付竞买保证金的申请人，才能参加</w:t>
      </w:r>
      <w:r>
        <w:rPr>
          <w:rFonts w:ascii="仿宋" w:eastAsia="仿宋" w:hAnsi="仿宋" w:cs="仿宋" w:hint="eastAsia"/>
          <w:sz w:val="32"/>
          <w:szCs w:val="32"/>
        </w:rPr>
        <w:t>电子交易系统</w:t>
      </w:r>
      <w:r>
        <w:rPr>
          <w:rFonts w:ascii="仿宋" w:eastAsia="仿宋" w:hAnsi="仿宋" w:cs="仿宋" w:hint="eastAsia"/>
          <w:sz w:val="32"/>
          <w:szCs w:val="32"/>
        </w:rPr>
        <w:t>活动。</w:t>
      </w:r>
      <w:r>
        <w:rPr>
          <w:rFonts w:ascii="仿宋" w:eastAsia="仿宋" w:hAnsi="仿宋" w:cs="仿宋" w:hint="eastAsia"/>
          <w:sz w:val="32"/>
          <w:szCs w:val="32"/>
        </w:rPr>
        <w:t xml:space="preserve"> </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、办理数字证书是参加本宗地网上挂牌出让活动的必经程序，申请人应当携带相关有效证件到广东省数字证书认证中心惠州办理点（地址：广东省惠州市惠城区三新北路</w:t>
      </w:r>
      <w:r>
        <w:rPr>
          <w:rFonts w:ascii="仿宋" w:eastAsia="仿宋" w:hAnsi="仿宋" w:cs="仿宋"/>
          <w:sz w:val="32"/>
          <w:szCs w:val="32"/>
        </w:rPr>
        <w:t>31</w:t>
      </w:r>
      <w:r>
        <w:rPr>
          <w:rFonts w:ascii="仿宋" w:eastAsia="仿宋" w:hAnsi="仿宋" w:cs="仿宋" w:hint="eastAsia"/>
          <w:sz w:val="32"/>
          <w:szCs w:val="32"/>
        </w:rPr>
        <w:t>号市民服务中心</w:t>
      </w:r>
      <w:r>
        <w:rPr>
          <w:rFonts w:ascii="仿宋" w:eastAsia="仿宋" w:hAnsi="仿宋" w:cs="仿宋"/>
          <w:sz w:val="32"/>
          <w:szCs w:val="32"/>
        </w:rPr>
        <w:t>3</w:t>
      </w:r>
      <w:r>
        <w:rPr>
          <w:rFonts w:ascii="仿宋" w:eastAsia="仿宋" w:hAnsi="仿宋" w:cs="仿宋" w:hint="eastAsia"/>
          <w:sz w:val="32"/>
          <w:szCs w:val="32"/>
        </w:rPr>
        <w:t>号楼惠州市公共资源交易中心一楼大厅</w:t>
      </w:r>
      <w:r>
        <w:rPr>
          <w:rFonts w:ascii="仿宋" w:eastAsia="仿宋" w:hAnsi="仿宋" w:cs="仿宋"/>
          <w:sz w:val="32"/>
          <w:szCs w:val="32"/>
        </w:rPr>
        <w:t>1</w:t>
      </w:r>
      <w:r>
        <w:rPr>
          <w:rFonts w:ascii="仿宋" w:eastAsia="仿宋" w:hAnsi="仿宋" w:cs="仿宋" w:hint="eastAsia"/>
          <w:sz w:val="32"/>
          <w:szCs w:val="32"/>
        </w:rPr>
        <w:t>号土地与矿业交易窗口，电话：</w:t>
      </w:r>
      <w:r>
        <w:rPr>
          <w:rFonts w:ascii="仿宋" w:eastAsia="仿宋" w:hAnsi="仿宋" w:cs="仿宋"/>
          <w:sz w:val="32"/>
          <w:szCs w:val="32"/>
        </w:rPr>
        <w:t>0752-7121029</w:t>
      </w:r>
      <w:r>
        <w:rPr>
          <w:rFonts w:ascii="仿宋" w:eastAsia="仿宋" w:hAnsi="仿宋" w:cs="仿宋" w:hint="eastAsia"/>
          <w:sz w:val="32"/>
          <w:szCs w:val="32"/>
        </w:rPr>
        <w:t>）申请办理。数字证书的办理流程详见</w:t>
      </w:r>
      <w:r>
        <w:rPr>
          <w:rFonts w:ascii="仿宋" w:eastAsia="仿宋" w:hAnsi="仿宋" w:cs="仿宋" w:hint="eastAsia"/>
          <w:sz w:val="32"/>
          <w:szCs w:val="32"/>
        </w:rPr>
        <w:t>电子交易</w:t>
      </w:r>
      <w:r>
        <w:rPr>
          <w:rFonts w:ascii="仿宋" w:eastAsia="仿宋" w:hAnsi="仿宋" w:cs="仿宋" w:hint="eastAsia"/>
          <w:sz w:val="32"/>
          <w:szCs w:val="32"/>
        </w:rPr>
        <w:t>系统上的《数字证书办理指南》。</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（四）申请竞买</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办理好数字证书的申请人决定参加本宗地网上挂牌竞买的，应按</w:t>
      </w:r>
      <w:r>
        <w:rPr>
          <w:rFonts w:ascii="仿宋" w:eastAsia="仿宋" w:hAnsi="仿宋" w:cs="仿宋" w:hint="eastAsia"/>
          <w:sz w:val="32"/>
          <w:szCs w:val="32"/>
        </w:rPr>
        <w:t>电子交易</w:t>
      </w:r>
      <w:r>
        <w:rPr>
          <w:rFonts w:ascii="仿宋" w:eastAsia="仿宋" w:hAnsi="仿宋" w:cs="仿宋" w:hint="eastAsia"/>
          <w:sz w:val="32"/>
          <w:szCs w:val="32"/>
        </w:rPr>
        <w:t>系统要求填写真实有效的申请人身份等信息并在</w:t>
      </w:r>
      <w:r>
        <w:rPr>
          <w:rFonts w:ascii="仿宋" w:eastAsia="仿宋" w:hAnsi="仿宋" w:cs="仿宋" w:hint="eastAsia"/>
          <w:sz w:val="32"/>
          <w:szCs w:val="32"/>
        </w:rPr>
        <w:t>电子交易</w:t>
      </w:r>
      <w:r>
        <w:rPr>
          <w:rFonts w:ascii="仿宋" w:eastAsia="仿宋" w:hAnsi="仿宋" w:cs="仿宋" w:hint="eastAsia"/>
          <w:sz w:val="32"/>
          <w:szCs w:val="32"/>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（五）交纳竞买保证</w:t>
      </w:r>
      <w:r>
        <w:rPr>
          <w:rFonts w:ascii="仿宋" w:eastAsia="仿宋" w:hAnsi="仿宋" w:cs="仿宋" w:hint="eastAsia"/>
          <w:sz w:val="32"/>
          <w:szCs w:val="32"/>
        </w:rPr>
        <w:t>金并获得竞买报价权限</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竞买保证金是申请人参加</w:t>
      </w:r>
      <w:r>
        <w:rPr>
          <w:rFonts w:ascii="仿宋" w:eastAsia="仿宋" w:hAnsi="仿宋" w:cs="仿宋" w:hint="eastAsia"/>
          <w:sz w:val="32"/>
          <w:szCs w:val="32"/>
        </w:rPr>
        <w:t>电子交易系统</w:t>
      </w:r>
      <w:r>
        <w:rPr>
          <w:rFonts w:ascii="仿宋" w:eastAsia="仿宋" w:hAnsi="仿宋" w:cs="仿宋" w:hint="eastAsia"/>
          <w:sz w:val="32"/>
          <w:szCs w:val="32"/>
        </w:rPr>
        <w:t>活动的资格条件。按规定将竞买保证金汇入指定账户，是参加</w:t>
      </w:r>
      <w:r>
        <w:rPr>
          <w:rFonts w:ascii="仿宋" w:eastAsia="仿宋" w:hAnsi="仿宋" w:cs="仿宋" w:hint="eastAsia"/>
          <w:sz w:val="32"/>
          <w:szCs w:val="32"/>
        </w:rPr>
        <w:t>网上挂牌交易</w:t>
      </w:r>
      <w:r>
        <w:rPr>
          <w:rFonts w:ascii="仿宋" w:eastAsia="仿宋" w:hAnsi="仿宋" w:cs="仿宋" w:hint="eastAsia"/>
          <w:sz w:val="32"/>
          <w:szCs w:val="32"/>
        </w:rPr>
        <w:t>活动的必经程序。</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w:t>
      </w:r>
      <w:r>
        <w:rPr>
          <w:rFonts w:ascii="仿宋" w:eastAsia="仿宋" w:hAnsi="仿宋" w:cs="仿宋" w:hint="eastAsia"/>
          <w:sz w:val="32"/>
          <w:szCs w:val="32"/>
        </w:rPr>
        <w:t>竞买人应当提前交纳竞买保证金以确保在到账截止时间前到账，超过到账截止时间的保证金，</w:t>
      </w:r>
      <w:r>
        <w:rPr>
          <w:rFonts w:ascii="仿宋" w:eastAsia="仿宋" w:hAnsi="仿宋" w:cs="仿宋" w:hint="eastAsia"/>
          <w:sz w:val="32"/>
          <w:szCs w:val="32"/>
        </w:rPr>
        <w:t>电子交易系统</w:t>
      </w:r>
      <w:r>
        <w:rPr>
          <w:rFonts w:ascii="仿宋" w:eastAsia="仿宋" w:hAnsi="仿宋" w:cs="仿宋" w:hint="eastAsia"/>
          <w:sz w:val="32"/>
          <w:szCs w:val="32"/>
        </w:rPr>
        <w:t>将不予受理，造成的损失由竞买人自行承担。</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跨地区或跨行转账的竞买人，需预足资金的在途时间，以免影响竞买人及时取得竞买报价权限。</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竞买保证金到账时间以</w:t>
      </w:r>
      <w:r>
        <w:rPr>
          <w:rFonts w:ascii="仿宋" w:eastAsia="仿宋" w:hAnsi="仿宋" w:cs="仿宋" w:hint="eastAsia"/>
          <w:sz w:val="32"/>
          <w:szCs w:val="32"/>
        </w:rPr>
        <w:t>电子交易</w:t>
      </w:r>
      <w:r>
        <w:rPr>
          <w:rFonts w:ascii="仿宋" w:eastAsia="仿宋" w:hAnsi="仿宋" w:cs="仿宋" w:hint="eastAsia"/>
          <w:sz w:val="32"/>
          <w:szCs w:val="32"/>
        </w:rPr>
        <w:t>系统确认并发出《竞买保证金到账通知书》为准。</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竞买保证金开户单位：惠州市公共资源交易中心</w:t>
      </w:r>
      <w:r>
        <w:rPr>
          <w:rFonts w:ascii="仿宋" w:eastAsia="仿宋" w:hAnsi="仿宋" w:cs="仿宋" w:hint="eastAsia"/>
          <w:sz w:val="32"/>
          <w:szCs w:val="32"/>
        </w:rPr>
        <w:t>大亚湾分中心</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竞买保证金账号：</w:t>
      </w:r>
      <w:r>
        <w:rPr>
          <w:rFonts w:ascii="仿宋" w:eastAsia="仿宋" w:hAnsi="仿宋" w:cs="仿宋" w:hint="eastAsia"/>
          <w:sz w:val="32"/>
          <w:szCs w:val="32"/>
        </w:rPr>
        <w:t>电子交易系统</w:t>
      </w:r>
      <w:r>
        <w:rPr>
          <w:rFonts w:ascii="仿宋" w:eastAsia="仿宋" w:hAnsi="仿宋" w:cs="仿宋" w:hint="eastAsia"/>
          <w:sz w:val="32"/>
          <w:szCs w:val="32"/>
        </w:rPr>
        <w:t>随机产生竞买保证金支付账号。</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开户银行：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）中国银行惠州大亚湾支行；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）中国工商银行惠州大亚湾支行；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）中国农业银行惠州大亚湾支行；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）惠州农商银行大亚湾支行；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）中国建设银行股份有限公司惠州大亚湾支行；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）交通银行惠州大亚湾支行；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）珠海华润银行股份有限公司惠州大亚湾支行</w:t>
      </w:r>
      <w:r>
        <w:rPr>
          <w:rFonts w:ascii="仿宋" w:eastAsia="仿宋" w:hAnsi="仿宋" w:cs="仿宋" w:hint="eastAsia"/>
          <w:sz w:val="32"/>
          <w:szCs w:val="32"/>
        </w:rPr>
        <w:t>；</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兴业银行股份有限公司惠州分行。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申请人应根据</w:t>
      </w:r>
      <w:r>
        <w:rPr>
          <w:rFonts w:ascii="仿宋" w:eastAsia="仿宋" w:hAnsi="仿宋" w:cs="仿宋" w:hint="eastAsia"/>
          <w:sz w:val="32"/>
          <w:szCs w:val="32"/>
        </w:rPr>
        <w:t>电子交易系统</w:t>
      </w:r>
      <w:r>
        <w:rPr>
          <w:rFonts w:ascii="仿宋" w:eastAsia="仿宋" w:hAnsi="仿宋" w:cs="仿宋" w:hint="eastAsia"/>
          <w:sz w:val="32"/>
          <w:szCs w:val="32"/>
        </w:rPr>
        <w:t>生成的随机保证金账号按时足额交纳竞买保证金，并在</w:t>
      </w:r>
      <w:r>
        <w:rPr>
          <w:rFonts w:ascii="仿宋" w:eastAsia="仿宋" w:hAnsi="仿宋" w:cs="仿宋" w:hint="eastAsia"/>
          <w:sz w:val="32"/>
          <w:szCs w:val="32"/>
        </w:rPr>
        <w:t>电子交易系统</w:t>
      </w:r>
      <w:r>
        <w:rPr>
          <w:rFonts w:ascii="仿宋" w:eastAsia="仿宋" w:hAnsi="仿宋" w:cs="仿宋" w:hint="eastAsia"/>
          <w:sz w:val="32"/>
          <w:szCs w:val="32"/>
        </w:rPr>
        <w:t>确认竞买保证</w:t>
      </w:r>
      <w:r>
        <w:rPr>
          <w:rFonts w:ascii="仿宋" w:eastAsia="仿宋" w:hAnsi="仿宋" w:cs="仿宋" w:hint="eastAsia"/>
          <w:sz w:val="32"/>
          <w:szCs w:val="32"/>
        </w:rPr>
        <w:lastRenderedPageBreak/>
        <w:t>金到账之后，赋予竞买人对应宗地的竞买报价</w:t>
      </w:r>
      <w:r>
        <w:rPr>
          <w:rFonts w:ascii="仿宋" w:eastAsia="仿宋" w:hAnsi="仿宋" w:cs="仿宋" w:hint="eastAsia"/>
          <w:sz w:val="32"/>
          <w:szCs w:val="32"/>
        </w:rPr>
        <w:t>权限。</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（六）竞买人电子报价及电子限时竞价</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竞买人通过</w:t>
      </w:r>
      <w:r>
        <w:rPr>
          <w:rFonts w:ascii="仿宋" w:eastAsia="仿宋" w:hAnsi="仿宋" w:cs="仿宋" w:hint="eastAsia"/>
          <w:sz w:val="32"/>
          <w:szCs w:val="32"/>
        </w:rPr>
        <w:t>电子交易</w:t>
      </w:r>
      <w:r>
        <w:rPr>
          <w:rFonts w:ascii="仿宋" w:eastAsia="仿宋" w:hAnsi="仿宋" w:cs="仿宋" w:hint="eastAsia"/>
          <w:sz w:val="32"/>
          <w:szCs w:val="32"/>
        </w:rPr>
        <w:t>系统进行报价。电子报价和电子限时竞价按以下规则进行：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）增价方式进行报价；</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）竞买人可多次报价；</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）初次报价不得低于起始价；</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）每次增价数额应是规定的增价幅度的整数倍；</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）每次报价应当比当前最高报价至少递增</w:t>
      </w:r>
      <w:r>
        <w:rPr>
          <w:rFonts w:ascii="仿宋" w:eastAsia="仿宋" w:hAnsi="仿宋" w:cs="仿宋"/>
          <w:sz w:val="32"/>
          <w:szCs w:val="32"/>
        </w:rPr>
        <w:t>1</w:t>
      </w:r>
      <w:r>
        <w:rPr>
          <w:rFonts w:ascii="仿宋" w:eastAsia="仿宋" w:hAnsi="仿宋" w:cs="仿宋" w:hint="eastAsia"/>
          <w:sz w:val="32"/>
          <w:szCs w:val="32"/>
        </w:rPr>
        <w:t>个增价幅度。</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sz w:val="32"/>
          <w:szCs w:val="32"/>
        </w:rPr>
        <w:t>竞买人应当谨慎报价，报价一经提交并经</w:t>
      </w:r>
      <w:r>
        <w:rPr>
          <w:rFonts w:ascii="仿宋" w:eastAsia="仿宋" w:hAnsi="仿宋" w:cs="仿宋" w:hint="eastAsia"/>
          <w:sz w:val="32"/>
          <w:szCs w:val="32"/>
        </w:rPr>
        <w:t>电子交易系</w:t>
      </w:r>
      <w:r>
        <w:rPr>
          <w:rFonts w:ascii="仿宋" w:eastAsia="仿宋" w:hAnsi="仿宋" w:cs="仿宋" w:hint="eastAsia"/>
          <w:sz w:val="32"/>
          <w:szCs w:val="32"/>
        </w:rPr>
        <w:t>系统确认为有效报价，不可撤回。</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电子挂牌交易期限截止前，竞买人应当进行至少一次有效报价，方有资格参加该宗地的电子限时竞价。</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电子限时竞价是指在挂牌出让公告规定的电子挂牌交易期限截止时，有</w:t>
      </w:r>
      <w:r>
        <w:rPr>
          <w:rFonts w:ascii="仿宋" w:eastAsia="仿宋" w:hAnsi="仿宋" w:cs="仿宋"/>
          <w:sz w:val="32"/>
          <w:szCs w:val="32"/>
        </w:rPr>
        <w:t>2</w:t>
      </w:r>
      <w:r>
        <w:rPr>
          <w:rFonts w:ascii="仿宋" w:eastAsia="仿宋" w:hAnsi="仿宋" w:cs="仿宋" w:hint="eastAsia"/>
          <w:sz w:val="32"/>
          <w:szCs w:val="32"/>
        </w:rPr>
        <w:t>个以上的竞买人报价，且经</w:t>
      </w:r>
      <w:r>
        <w:rPr>
          <w:rFonts w:ascii="仿宋" w:eastAsia="仿宋" w:hAnsi="仿宋" w:cs="仿宋" w:hint="eastAsia"/>
          <w:sz w:val="32"/>
          <w:szCs w:val="32"/>
        </w:rPr>
        <w:t>电子交易系统</w:t>
      </w:r>
      <w:r>
        <w:rPr>
          <w:rFonts w:ascii="仿宋" w:eastAsia="仿宋" w:hAnsi="仿宋" w:cs="仿宋" w:hint="eastAsia"/>
          <w:sz w:val="32"/>
          <w:szCs w:val="32"/>
        </w:rPr>
        <w:t>询问，</w:t>
      </w:r>
      <w:r>
        <w:rPr>
          <w:rFonts w:ascii="仿宋" w:eastAsia="仿宋" w:hAnsi="仿宋" w:cs="仿宋"/>
          <w:sz w:val="32"/>
          <w:szCs w:val="32"/>
        </w:rPr>
        <w:t>5</w:t>
      </w:r>
      <w:r>
        <w:rPr>
          <w:rFonts w:ascii="仿宋" w:eastAsia="仿宋" w:hAnsi="仿宋" w:cs="仿宋" w:hint="eastAsia"/>
          <w:sz w:val="32"/>
          <w:szCs w:val="32"/>
        </w:rPr>
        <w:t>分钟内限时决定是否愿意继续报价</w:t>
      </w:r>
      <w:r>
        <w:rPr>
          <w:rFonts w:ascii="仿宋" w:eastAsia="仿宋" w:hAnsi="仿宋" w:cs="仿宋"/>
          <w:sz w:val="32"/>
          <w:szCs w:val="32"/>
        </w:rPr>
        <w:t>,</w:t>
      </w:r>
      <w:r>
        <w:rPr>
          <w:rFonts w:ascii="仿宋" w:eastAsia="仿宋" w:hAnsi="仿宋" w:cs="仿宋" w:hint="eastAsia"/>
          <w:sz w:val="32"/>
          <w:szCs w:val="32"/>
        </w:rPr>
        <w:t>有竞买人愿意继续报价的，</w:t>
      </w:r>
      <w:r>
        <w:rPr>
          <w:rFonts w:ascii="仿宋" w:eastAsia="仿宋" w:hAnsi="仿宋" w:cs="仿宋" w:hint="eastAsia"/>
          <w:sz w:val="32"/>
          <w:szCs w:val="32"/>
        </w:rPr>
        <w:t>电子交易系统</w:t>
      </w:r>
      <w:r>
        <w:rPr>
          <w:rFonts w:ascii="仿宋" w:eastAsia="仿宋" w:hAnsi="仿宋" w:cs="仿宋" w:hint="eastAsia"/>
          <w:sz w:val="32"/>
          <w:szCs w:val="32"/>
        </w:rPr>
        <w:t>以高于当前最高报价一个增价幅度的价格为起始价，</w:t>
      </w:r>
      <w:r>
        <w:rPr>
          <w:rFonts w:ascii="仿宋" w:eastAsia="仿宋" w:hAnsi="仿宋" w:cs="仿宋" w:hint="eastAsia"/>
          <w:sz w:val="32"/>
          <w:szCs w:val="32"/>
        </w:rPr>
        <w:t>电子交易系统</w:t>
      </w:r>
      <w:r>
        <w:rPr>
          <w:rFonts w:ascii="仿宋" w:eastAsia="仿宋" w:hAnsi="仿宋" w:cs="仿宋" w:hint="eastAsia"/>
          <w:sz w:val="32"/>
          <w:szCs w:val="32"/>
        </w:rPr>
        <w:t>开始第一次</w:t>
      </w:r>
      <w:r>
        <w:rPr>
          <w:rFonts w:ascii="仿宋" w:eastAsia="仿宋" w:hAnsi="仿宋" w:cs="仿宋"/>
          <w:sz w:val="32"/>
          <w:szCs w:val="32"/>
        </w:rPr>
        <w:t>5</w:t>
      </w:r>
      <w:r>
        <w:rPr>
          <w:rFonts w:ascii="仿宋" w:eastAsia="仿宋" w:hAnsi="仿宋" w:cs="仿宋" w:hint="eastAsia"/>
          <w:sz w:val="32"/>
          <w:szCs w:val="32"/>
        </w:rPr>
        <w:t>分钟倒计时限时报价，如在</w:t>
      </w:r>
      <w:r>
        <w:rPr>
          <w:rFonts w:ascii="仿宋" w:eastAsia="仿宋" w:hAnsi="仿宋" w:cs="仿宋"/>
          <w:sz w:val="32"/>
          <w:szCs w:val="32"/>
        </w:rPr>
        <w:t>5</w:t>
      </w:r>
      <w:r>
        <w:rPr>
          <w:rFonts w:ascii="仿宋" w:eastAsia="仿宋" w:hAnsi="仿宋" w:cs="仿宋" w:hint="eastAsia"/>
          <w:sz w:val="32"/>
          <w:szCs w:val="32"/>
        </w:rPr>
        <w:t>分钟内的任一时点有新的有效报价，</w:t>
      </w:r>
      <w:r>
        <w:rPr>
          <w:rFonts w:ascii="仿宋" w:eastAsia="仿宋" w:hAnsi="仿宋" w:cs="仿宋" w:hint="eastAsia"/>
          <w:sz w:val="32"/>
          <w:szCs w:val="32"/>
        </w:rPr>
        <w:t>电子交易系统</w:t>
      </w:r>
      <w:r>
        <w:rPr>
          <w:rFonts w:ascii="仿宋" w:eastAsia="仿宋" w:hAnsi="仿宋" w:cs="仿宋" w:hint="eastAsia"/>
          <w:sz w:val="32"/>
          <w:szCs w:val="32"/>
        </w:rPr>
        <w:t>即从此时点起重新计算</w:t>
      </w:r>
      <w:r>
        <w:rPr>
          <w:rFonts w:ascii="仿宋" w:eastAsia="仿宋" w:hAnsi="仿宋" w:cs="仿宋"/>
          <w:sz w:val="32"/>
          <w:szCs w:val="32"/>
        </w:rPr>
        <w:t>5</w:t>
      </w:r>
      <w:r>
        <w:rPr>
          <w:rFonts w:ascii="仿宋" w:eastAsia="仿宋" w:hAnsi="仿宋" w:cs="仿宋" w:hint="eastAsia"/>
          <w:sz w:val="32"/>
          <w:szCs w:val="32"/>
        </w:rPr>
        <w:t>分钟的限时报价时间，供竞买人作新一轮报价，并按此方式不断顺延下去</w:t>
      </w:r>
      <w:r>
        <w:rPr>
          <w:rFonts w:ascii="仿宋" w:eastAsia="仿宋" w:hAnsi="仿宋" w:cs="仿宋"/>
          <w:sz w:val="32"/>
          <w:szCs w:val="32"/>
        </w:rPr>
        <w:t>,</w:t>
      </w:r>
      <w:r>
        <w:rPr>
          <w:rFonts w:ascii="仿宋" w:eastAsia="仿宋" w:hAnsi="仿宋" w:cs="仿宋" w:hint="eastAsia"/>
          <w:sz w:val="32"/>
          <w:szCs w:val="32"/>
        </w:rPr>
        <w:t>直至</w:t>
      </w:r>
      <w:r>
        <w:rPr>
          <w:rFonts w:ascii="仿宋" w:eastAsia="仿宋" w:hAnsi="仿宋" w:cs="仿宋"/>
          <w:sz w:val="32"/>
          <w:szCs w:val="32"/>
        </w:rPr>
        <w:t>5</w:t>
      </w:r>
      <w:r>
        <w:rPr>
          <w:rFonts w:ascii="仿宋" w:eastAsia="仿宋" w:hAnsi="仿宋" w:cs="仿宋" w:hint="eastAsia"/>
          <w:sz w:val="32"/>
          <w:szCs w:val="32"/>
        </w:rPr>
        <w:lastRenderedPageBreak/>
        <w:t>分钟限时报价时间内没有新的有效报价，</w:t>
      </w:r>
      <w:r>
        <w:rPr>
          <w:rFonts w:ascii="仿宋" w:eastAsia="仿宋" w:hAnsi="仿宋" w:cs="仿宋" w:hint="eastAsia"/>
          <w:sz w:val="32"/>
          <w:szCs w:val="32"/>
        </w:rPr>
        <w:t>电子交易系统</w:t>
      </w:r>
      <w:r>
        <w:rPr>
          <w:rFonts w:ascii="仿宋" w:eastAsia="仿宋" w:hAnsi="仿宋" w:cs="仿宋" w:hint="eastAsia"/>
          <w:sz w:val="32"/>
          <w:szCs w:val="32"/>
        </w:rPr>
        <w:t>将自动关闭报价通道，确认当前最高报价为最终报价，</w:t>
      </w:r>
      <w:r>
        <w:rPr>
          <w:rFonts w:ascii="仿宋" w:eastAsia="仿宋" w:hAnsi="仿宋" w:cs="仿宋" w:hint="eastAsia"/>
          <w:sz w:val="32"/>
          <w:szCs w:val="32"/>
        </w:rPr>
        <w:t>电子交易系统</w:t>
      </w:r>
      <w:r>
        <w:rPr>
          <w:rFonts w:ascii="仿宋" w:eastAsia="仿宋" w:hAnsi="仿宋" w:cs="仿宋" w:hint="eastAsia"/>
          <w:sz w:val="32"/>
          <w:szCs w:val="32"/>
        </w:rPr>
        <w:t>即时显示电子挂牌竞价结果。</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竞买人应当在电子挂牌交易期限截止前登录</w:t>
      </w:r>
      <w:r>
        <w:rPr>
          <w:rFonts w:ascii="仿宋" w:eastAsia="仿宋" w:hAnsi="仿宋" w:cs="仿宋" w:hint="eastAsia"/>
          <w:sz w:val="32"/>
          <w:szCs w:val="32"/>
        </w:rPr>
        <w:t>电子交易系统</w:t>
      </w:r>
      <w:r>
        <w:rPr>
          <w:rFonts w:ascii="仿宋" w:eastAsia="仿宋" w:hAnsi="仿宋" w:cs="仿宋" w:hint="eastAsia"/>
          <w:sz w:val="32"/>
          <w:szCs w:val="32"/>
        </w:rPr>
        <w:t>，密切关注交易动态。竞买人应当在电子挂牌交易时限截止后</w:t>
      </w:r>
      <w:r>
        <w:rPr>
          <w:rFonts w:ascii="仿宋" w:eastAsia="仿宋" w:hAnsi="仿宋" w:cs="仿宋"/>
          <w:sz w:val="32"/>
          <w:szCs w:val="32"/>
        </w:rPr>
        <w:t>5</w:t>
      </w:r>
      <w:r>
        <w:rPr>
          <w:rFonts w:ascii="仿宋" w:eastAsia="仿宋" w:hAnsi="仿宋" w:cs="仿宋" w:hint="eastAsia"/>
          <w:sz w:val="32"/>
          <w:szCs w:val="32"/>
        </w:rPr>
        <w:t>分钟内做出是否参加电子限时竞价的决定并提交</w:t>
      </w:r>
      <w:r>
        <w:rPr>
          <w:rFonts w:ascii="仿宋" w:eastAsia="仿宋" w:hAnsi="仿宋" w:cs="仿宋" w:hint="eastAsia"/>
          <w:sz w:val="32"/>
          <w:szCs w:val="32"/>
        </w:rPr>
        <w:t>电子交易系统</w:t>
      </w:r>
      <w:r>
        <w:rPr>
          <w:rFonts w:ascii="仿宋" w:eastAsia="仿宋" w:hAnsi="仿宋" w:cs="仿宋" w:hint="eastAsia"/>
          <w:sz w:val="32"/>
          <w:szCs w:val="32"/>
        </w:rPr>
        <w:t>，超过</w:t>
      </w:r>
      <w:r>
        <w:rPr>
          <w:rFonts w:ascii="仿宋" w:eastAsia="仿宋" w:hAnsi="仿宋" w:cs="仿宋"/>
          <w:sz w:val="32"/>
          <w:szCs w:val="32"/>
        </w:rPr>
        <w:t>5</w:t>
      </w:r>
      <w:r>
        <w:rPr>
          <w:rFonts w:ascii="仿宋" w:eastAsia="仿宋" w:hAnsi="仿宋" w:cs="仿宋" w:hint="eastAsia"/>
          <w:sz w:val="32"/>
          <w:szCs w:val="32"/>
        </w:rPr>
        <w:t>分钟未提交的，</w:t>
      </w:r>
      <w:r>
        <w:rPr>
          <w:rFonts w:ascii="仿宋" w:eastAsia="仿宋" w:hAnsi="仿宋" w:cs="仿宋" w:hint="eastAsia"/>
          <w:sz w:val="32"/>
          <w:szCs w:val="32"/>
        </w:rPr>
        <w:t>电子交易</w:t>
      </w:r>
      <w:r>
        <w:rPr>
          <w:rFonts w:ascii="仿宋" w:eastAsia="仿宋" w:hAnsi="仿宋" w:cs="仿宋" w:hint="eastAsia"/>
          <w:sz w:val="32"/>
          <w:szCs w:val="32"/>
        </w:rPr>
        <w:t>系统默认该竞买人参加电子限时竞价活动。</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（七）确定成交候选人</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电子挂牌交易按照下列规则确定成交候选人：</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在电子挂牌交易期限内只有</w:t>
      </w:r>
      <w:r>
        <w:rPr>
          <w:rFonts w:ascii="仿宋" w:eastAsia="仿宋" w:hAnsi="仿宋" w:cs="仿宋"/>
          <w:sz w:val="32"/>
          <w:szCs w:val="32"/>
        </w:rPr>
        <w:t>1</w:t>
      </w:r>
      <w:r>
        <w:rPr>
          <w:rFonts w:ascii="仿宋" w:eastAsia="仿宋" w:hAnsi="仿宋" w:cs="仿宋" w:hint="eastAsia"/>
          <w:sz w:val="32"/>
          <w:szCs w:val="32"/>
        </w:rPr>
        <w:t>个竞买人报价，且报价不低于起始价的，则该报价者为成交候选人；</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sz w:val="32"/>
          <w:szCs w:val="32"/>
        </w:rPr>
        <w:t>电子挂牌交易期限内有</w:t>
      </w:r>
      <w:r>
        <w:rPr>
          <w:rFonts w:ascii="仿宋" w:eastAsia="仿宋" w:hAnsi="仿宋" w:cs="仿宋"/>
          <w:sz w:val="32"/>
          <w:szCs w:val="32"/>
        </w:rPr>
        <w:t>2</w:t>
      </w:r>
      <w:r>
        <w:rPr>
          <w:rFonts w:ascii="仿宋" w:eastAsia="仿宋" w:hAnsi="仿宋" w:cs="仿宋" w:hint="eastAsia"/>
          <w:sz w:val="32"/>
          <w:szCs w:val="32"/>
        </w:rPr>
        <w:t>个以上的竞买人报价，经</w:t>
      </w:r>
      <w:r>
        <w:rPr>
          <w:rFonts w:ascii="仿宋" w:eastAsia="仿宋" w:hAnsi="仿宋" w:cs="仿宋" w:hint="eastAsia"/>
          <w:sz w:val="32"/>
          <w:szCs w:val="32"/>
        </w:rPr>
        <w:t>电子交易系统</w:t>
      </w:r>
      <w:r>
        <w:rPr>
          <w:rFonts w:ascii="仿宋" w:eastAsia="仿宋" w:hAnsi="仿宋" w:cs="仿宋" w:hint="eastAsia"/>
          <w:sz w:val="32"/>
          <w:szCs w:val="32"/>
        </w:rPr>
        <w:t>询问，无竞买人愿意参加</w:t>
      </w:r>
      <w:r>
        <w:rPr>
          <w:rFonts w:ascii="仿宋" w:eastAsia="仿宋" w:hAnsi="仿宋" w:cs="仿宋" w:hint="eastAsia"/>
          <w:sz w:val="32"/>
          <w:szCs w:val="32"/>
        </w:rPr>
        <w:t>电子限时竞价的，以当前报价最高且报价不低于起始价者为成交候选人；</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电子挂牌交易期限内无报价的，挂牌不成交；</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进入电子限时竞价，电子限时竞价中报价最高且报价不低于起始价者为成交候选人；</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电子限时竞价中无竞买人报价的，以电子挂牌交易截止时报价最高且报价不低于起始价者为成交候选人。</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（八）成交候选人竞买资格审查</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本宗国有建设用地使用权网上挂牌出让实行竞买资格</w:t>
      </w:r>
      <w:r>
        <w:rPr>
          <w:rFonts w:ascii="仿宋" w:eastAsia="仿宋" w:hAnsi="仿宋" w:cs="仿宋" w:hint="eastAsia"/>
          <w:sz w:val="32"/>
          <w:szCs w:val="32"/>
        </w:rPr>
        <w:lastRenderedPageBreak/>
        <w:t>后置审查。</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电子挂牌交易结束后，电子挂牌竞价结果即时通过</w:t>
      </w:r>
      <w:r>
        <w:rPr>
          <w:rFonts w:ascii="仿宋" w:eastAsia="仿宋" w:hAnsi="仿宋" w:cs="仿宋" w:hint="eastAsia"/>
          <w:sz w:val="32"/>
          <w:szCs w:val="32"/>
        </w:rPr>
        <w:t>电子交易系统</w:t>
      </w:r>
      <w:r>
        <w:rPr>
          <w:rFonts w:ascii="仿宋" w:eastAsia="仿宋" w:hAnsi="仿宋" w:cs="仿宋" w:hint="eastAsia"/>
          <w:sz w:val="32"/>
          <w:szCs w:val="32"/>
        </w:rPr>
        <w:t>发布。成交候选人应当在电子挂牌竞价结果公布后，按挂牌出让公告及竞买须知的要求将</w:t>
      </w:r>
      <w:r>
        <w:rPr>
          <w:rFonts w:ascii="仿宋" w:eastAsia="仿宋" w:hAnsi="仿宋" w:cs="仿宋" w:hint="eastAsia"/>
          <w:sz w:val="32"/>
          <w:szCs w:val="32"/>
        </w:rPr>
        <w:t>相关资料提交至委托人，由委托人进行竞买资格审查。符合竞买资格的，确定成交候选人为竞得人。</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不符合竞买资格的，取消成交候选人资格，竞价结果无效。</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（九）公布交易结果</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委托人确定竞得人后，由本中心通过</w:t>
      </w:r>
      <w:r>
        <w:rPr>
          <w:rFonts w:ascii="仿宋" w:eastAsia="仿宋" w:hAnsi="仿宋" w:cs="仿宋" w:hint="eastAsia"/>
          <w:sz w:val="32"/>
          <w:szCs w:val="32"/>
        </w:rPr>
        <w:t>电子交易系统</w:t>
      </w:r>
      <w:r>
        <w:rPr>
          <w:rFonts w:ascii="仿宋" w:eastAsia="仿宋" w:hAnsi="仿宋" w:cs="仿宋" w:hint="eastAsia"/>
          <w:sz w:val="32"/>
          <w:szCs w:val="32"/>
        </w:rPr>
        <w:t>发布交易结果。</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（十）签订成交确认书和交易合同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确定竞得人后，竞得人按挂牌出让公告规定的时间与委托人、本中心签订《国有建设用地使用权网上挂牌成交确认书》（以下简称</w:t>
      </w:r>
      <w:r>
        <w:rPr>
          <w:rFonts w:ascii="仿宋" w:eastAsia="仿宋" w:hAnsi="仿宋" w:cs="仿宋"/>
          <w:sz w:val="32"/>
          <w:szCs w:val="32"/>
        </w:rPr>
        <w:t>“</w:t>
      </w:r>
      <w:r>
        <w:rPr>
          <w:rFonts w:ascii="仿宋" w:eastAsia="仿宋" w:hAnsi="仿宋" w:cs="仿宋" w:hint="eastAsia"/>
          <w:sz w:val="32"/>
          <w:szCs w:val="32"/>
        </w:rPr>
        <w:t>成交确认书</w:t>
      </w:r>
      <w:r>
        <w:rPr>
          <w:rFonts w:ascii="仿宋" w:eastAsia="仿宋" w:hAnsi="仿宋" w:cs="仿宋"/>
          <w:sz w:val="32"/>
          <w:szCs w:val="32"/>
        </w:rPr>
        <w:t>”</w:t>
      </w:r>
      <w:r>
        <w:rPr>
          <w:rFonts w:ascii="仿宋" w:eastAsia="仿宋" w:hAnsi="仿宋" w:cs="仿宋" w:hint="eastAsia"/>
          <w:sz w:val="32"/>
          <w:szCs w:val="32"/>
        </w:rPr>
        <w:t>），竞得人根据成交确认书约定的时间与委托人签订交易合同。</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六、系统操作</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电子交易系统</w:t>
      </w:r>
      <w:r>
        <w:rPr>
          <w:rFonts w:ascii="仿宋" w:eastAsia="仿宋" w:hAnsi="仿宋" w:cs="仿宋" w:hint="eastAsia"/>
          <w:sz w:val="32"/>
          <w:szCs w:val="32"/>
        </w:rPr>
        <w:t>竞买人操作视频可在本中心</w:t>
      </w:r>
      <w:r>
        <w:rPr>
          <w:rFonts w:ascii="仿宋" w:eastAsia="仿宋" w:hAnsi="仿宋" w:cs="仿宋" w:hint="eastAsia"/>
          <w:sz w:val="32"/>
          <w:szCs w:val="32"/>
        </w:rPr>
        <w:t>电子交易系统</w:t>
      </w:r>
      <w:r>
        <w:rPr>
          <w:rFonts w:ascii="仿宋" w:eastAsia="仿宋" w:hAnsi="仿宋" w:cs="仿宋" w:hint="eastAsia"/>
          <w:sz w:val="32"/>
          <w:szCs w:val="32"/>
        </w:rPr>
        <w:t>下载。</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七、注意事项</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（一）竞买人须详细阅读挂牌出让公告、竞买须知及《惠州市政务服务数据管理局惠州市公共资源交易中心公共资</w:t>
      </w:r>
      <w:r>
        <w:rPr>
          <w:rFonts w:ascii="仿宋" w:eastAsia="仿宋" w:hAnsi="仿宋" w:cs="仿宋" w:hint="eastAsia"/>
          <w:sz w:val="32"/>
          <w:szCs w:val="32"/>
        </w:rPr>
        <w:lastRenderedPageBreak/>
        <w:t>源电子交易规则》，竞买申请一经受理确认后，即视为竞买人对挂牌出让公告、竞买须知、相关交易文件及地块现状无异议并全部接受，对有关承诺承担法律责任。</w:t>
      </w:r>
    </w:p>
    <w:p w:rsidR="00A710FA" w:rsidRDefault="008A235B">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（二）联合申请竞买的，联合竞买人在提交竞买申请材料时，须提交联合竞买申请书和协议，协议主要规定联合各方的权利和义务、参与竞买的代表人、联合各方的出资比例等。</w:t>
      </w:r>
    </w:p>
    <w:p w:rsidR="00A710FA" w:rsidRDefault="008A235B">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（三）境外成交候选人按照规定提交的有关身份证明及其他相关文件，应按规定由中华人民共和国驻该国、</w:t>
      </w:r>
      <w:r>
        <w:rPr>
          <w:rFonts w:ascii="仿宋" w:eastAsia="仿宋" w:hAnsi="仿宋" w:cs="仿宋" w:hint="eastAsia"/>
          <w:kern w:val="2"/>
          <w:sz w:val="32"/>
          <w:szCs w:val="32"/>
        </w:rPr>
        <w:t>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（四）《竞价结果通知书》对委托人和成交候选人具有法律效力，委托人改变网上挂牌结果的，或者成交候选人放弃竞得宗地的，应当承担相应法律责任。</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竞得人应按挂牌出让公告规定的时间与本中心、委</w:t>
      </w:r>
      <w:r>
        <w:rPr>
          <w:rFonts w:ascii="仿宋" w:eastAsia="仿宋" w:hAnsi="仿宋" w:cs="仿宋" w:hint="eastAsia"/>
          <w:sz w:val="32"/>
          <w:szCs w:val="32"/>
        </w:rPr>
        <w:t>托人签订成交确认书，根据成交确认书约定的时间与委托人签订出让合同，并按合同约定支付成交价款。</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本中心受托提供代收代退竞买保证金服务，未竞得人缴纳的竞买保证金（以人民币缴纳的竞买保证金）将于电子挂牌交易活动结束之日起</w:t>
      </w:r>
      <w:r>
        <w:rPr>
          <w:rFonts w:ascii="仿宋" w:eastAsia="仿宋" w:hAnsi="仿宋" w:cs="仿宋"/>
          <w:sz w:val="32"/>
          <w:szCs w:val="32"/>
        </w:rPr>
        <w:t>5</w:t>
      </w:r>
      <w:r>
        <w:rPr>
          <w:rFonts w:ascii="仿宋" w:eastAsia="仿宋" w:hAnsi="仿宋" w:cs="仿宋" w:hint="eastAsia"/>
          <w:sz w:val="32"/>
          <w:szCs w:val="32"/>
        </w:rPr>
        <w:t>个工作日内原路退还保证金，不计利息。</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竞得人交纳的竞买保证金转付成交价款，办理转付成交价款手续应带齐如下相关资料：</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关于将竞买保证金转为土地成交价款的申请</w:t>
      </w:r>
      <w:r>
        <w:rPr>
          <w:rFonts w:ascii="仿宋" w:eastAsia="仿宋" w:hAnsi="仿宋" w:cs="仿宋" w:hint="eastAsia"/>
          <w:sz w:val="32"/>
          <w:szCs w:val="32"/>
        </w:rPr>
        <w:t>；</w:t>
      </w:r>
    </w:p>
    <w:p w:rsidR="00A710FA" w:rsidRDefault="008A235B">
      <w:pPr>
        <w:pStyle w:val="a3"/>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惠州市非税收入缴款通知；</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银行端查询缴税凭证；</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竞价结果通知书；</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保证金到账通知书；</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保证金转账凭证。</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（六）为避免网络延迟问题，竞买人首次报价应在网上挂牌截止前</w:t>
      </w:r>
      <w:r>
        <w:rPr>
          <w:rFonts w:ascii="仿宋" w:eastAsia="仿宋" w:hAnsi="仿宋" w:cs="仿宋"/>
          <w:sz w:val="32"/>
          <w:szCs w:val="32"/>
        </w:rPr>
        <w:t>10</w:t>
      </w:r>
      <w:r>
        <w:rPr>
          <w:rFonts w:ascii="仿宋" w:eastAsia="仿宋" w:hAnsi="仿宋" w:cs="仿宋" w:hint="eastAsia"/>
          <w:sz w:val="32"/>
          <w:szCs w:val="32"/>
        </w:rPr>
        <w:t>分钟提交，以防止</w:t>
      </w:r>
      <w:r>
        <w:rPr>
          <w:rFonts w:ascii="仿宋" w:eastAsia="仿宋" w:hAnsi="仿宋" w:cs="仿宋" w:hint="eastAsia"/>
          <w:sz w:val="32"/>
          <w:szCs w:val="32"/>
        </w:rPr>
        <w:t>电子交易系统</w:t>
      </w:r>
      <w:r>
        <w:rPr>
          <w:rFonts w:ascii="仿宋" w:eastAsia="仿宋" w:hAnsi="仿宋" w:cs="仿宋" w:hint="eastAsia"/>
          <w:sz w:val="32"/>
          <w:szCs w:val="32"/>
        </w:rPr>
        <w:t>无法及时接收到报价的情况发生。</w:t>
      </w:r>
      <w:r>
        <w:rPr>
          <w:rFonts w:ascii="仿宋" w:eastAsia="仿宋" w:hAnsi="仿宋" w:cs="仿宋"/>
          <w:sz w:val="32"/>
          <w:szCs w:val="32"/>
        </w:rPr>
        <w:t>5</w:t>
      </w:r>
      <w:r>
        <w:rPr>
          <w:rFonts w:ascii="仿宋" w:eastAsia="仿宋" w:hAnsi="仿宋" w:cs="仿宋" w:hint="eastAsia"/>
          <w:sz w:val="32"/>
          <w:szCs w:val="32"/>
        </w:rPr>
        <w:t>分钟倒计时竞价期间，请不要在最后时点报价，以防网络延时造成报价提交不成功。</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、电子交易系统受到黑客、病毒恶意攻击的；</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、公共资源交易平台因停电、电子交易系统故</w:t>
      </w:r>
      <w:r>
        <w:rPr>
          <w:rFonts w:ascii="仿宋" w:eastAsia="仿宋" w:hAnsi="仿宋" w:cs="仿宋" w:hint="eastAsia"/>
          <w:sz w:val="32"/>
          <w:szCs w:val="32"/>
        </w:rPr>
        <w:t>障、网络故障、交易软件或数据库错误等因素影响到交易活动不能正常进行的；</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、电子交易系统发现有安全漏洞，有潜在泄密危险，无法保证电子交易信息安全和公平公正交易的；</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、政府有关行政主管部门及司法机关依法要求暂停、中止或终止交易的；</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、委托人书面通知交易中心要求暂停、中止或终止交易的；</w:t>
      </w:r>
    </w:p>
    <w:p w:rsidR="00A710FA" w:rsidRDefault="008A235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、依法应当暂停、中止或终止交易的其他情形。</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（八）网上挂牌成交价即为该宗地的出让总地价款，竞得人除支付成交价款外，还需支付契税、印花税等有关费用。</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（九）竞得人与委托人签订出让合同后，应当按出让合同约定支付网上挂牌成交价款</w:t>
      </w:r>
      <w:r>
        <w:rPr>
          <w:rFonts w:ascii="仿宋" w:eastAsia="仿宋" w:hAnsi="仿宋" w:cs="仿宋" w:hint="eastAsia"/>
          <w:sz w:val="32"/>
          <w:szCs w:val="32"/>
        </w:rPr>
        <w:t>。竞得人付清全部成交价款后，依法申请办理土地登记，领取《不动产权证书》。</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（十）网上挂牌不成交的，由委托人重新组织挂牌出让。</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（十一）挂牌出让公告、竞买须知及相关交易文件需要修改、补充时，将通过原挂牌出让公告发布渠道公告，不作另行通知。</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申请人应当及时关注该宗地的网上挂牌交易信息。本中心发出的修改、补充公告，与挂牌出让公告、竞买须知及相关交易文件具有同等效力。若与挂牌出让公告、竞买须知及</w:t>
      </w:r>
      <w:r>
        <w:rPr>
          <w:rFonts w:ascii="仿宋" w:eastAsia="仿宋" w:hAnsi="仿宋" w:cs="仿宋" w:hint="eastAsia"/>
          <w:sz w:val="32"/>
          <w:szCs w:val="32"/>
        </w:rPr>
        <w:lastRenderedPageBreak/>
        <w:t>相关交易文件有矛盾时，以日期在后者为准。</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（十二）竞买须知及挂牌出让公告涉及的时间期限，以</w:t>
      </w:r>
      <w:r>
        <w:rPr>
          <w:rFonts w:ascii="仿宋" w:eastAsia="仿宋" w:hAnsi="仿宋" w:cs="仿宋" w:hint="eastAsia"/>
          <w:sz w:val="32"/>
          <w:szCs w:val="32"/>
        </w:rPr>
        <w:t>电子交易系统</w:t>
      </w:r>
      <w:r>
        <w:rPr>
          <w:rFonts w:ascii="仿宋" w:eastAsia="仿宋" w:hAnsi="仿宋" w:cs="仿宋" w:hint="eastAsia"/>
          <w:sz w:val="32"/>
          <w:szCs w:val="32"/>
        </w:rPr>
        <w:t>服务器的时间为准。</w:t>
      </w:r>
    </w:p>
    <w:p w:rsidR="00A710FA" w:rsidRDefault="008A235B">
      <w:pPr>
        <w:ind w:firstLineChars="200" w:firstLine="640"/>
        <w:rPr>
          <w:rFonts w:ascii="仿宋" w:eastAsia="仿宋" w:hAnsi="仿宋" w:cs="仿宋"/>
          <w:sz w:val="32"/>
          <w:szCs w:val="32"/>
        </w:rPr>
      </w:pPr>
      <w:r>
        <w:rPr>
          <w:rFonts w:ascii="仿宋" w:eastAsia="仿宋" w:hAnsi="仿宋" w:cs="仿宋" w:hint="eastAsia"/>
          <w:sz w:val="32"/>
          <w:szCs w:val="32"/>
        </w:rPr>
        <w:t>（十三）本中心对本竞买须知有解释权。未尽事宜依照《招标拍卖挂牌出让国有土地使用权规范》办理。</w:t>
      </w:r>
    </w:p>
    <w:p w:rsidR="00A710FA" w:rsidRDefault="008A235B">
      <w:pPr>
        <w:pStyle w:val="a4"/>
        <w:widowControl/>
        <w:jc w:val="center"/>
      </w:pPr>
      <w:r>
        <w:rPr>
          <w:rFonts w:ascii="宋体" w:eastAsia="宋体" w:hAnsi="宋体" w:cs="宋体" w:hint="eastAsia"/>
          <w:sz w:val="31"/>
          <w:szCs w:val="31"/>
        </w:rPr>
        <w:t>                         </w:t>
      </w:r>
    </w:p>
    <w:p w:rsidR="00A710FA" w:rsidRDefault="008A235B">
      <w:pPr>
        <w:pStyle w:val="a4"/>
        <w:widowControl/>
        <w:jc w:val="center"/>
        <w:rPr>
          <w:rFonts w:ascii="仿宋" w:eastAsia="仿宋" w:hAnsi="仿宋" w:cs="仿宋"/>
        </w:rPr>
      </w:pPr>
      <w:r>
        <w:rPr>
          <w:rFonts w:ascii="宋体" w:eastAsia="宋体" w:hAnsi="宋体" w:cs="宋体" w:hint="eastAsia"/>
          <w:sz w:val="31"/>
          <w:szCs w:val="31"/>
        </w:rPr>
        <w:t xml:space="preserve">    </w:t>
      </w:r>
      <w:r>
        <w:rPr>
          <w:rFonts w:ascii="宋体" w:eastAsia="宋体" w:hAnsi="宋体" w:cs="宋体" w:hint="eastAsia"/>
          <w:sz w:val="31"/>
          <w:szCs w:val="31"/>
        </w:rPr>
        <w:t>  </w:t>
      </w:r>
      <w:r>
        <w:rPr>
          <w:rFonts w:ascii="仿宋" w:eastAsia="仿宋" w:hAnsi="仿宋" w:cs="仿宋" w:hint="eastAsia"/>
          <w:sz w:val="31"/>
          <w:szCs w:val="31"/>
        </w:rPr>
        <w:t>       </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A710FA" w:rsidRDefault="008A235B">
      <w:pPr>
        <w:pStyle w:val="a4"/>
        <w:widowControl/>
        <w:jc w:val="center"/>
        <w:rPr>
          <w:rFonts w:ascii="仿宋" w:eastAsia="仿宋" w:hAnsi="仿宋" w:cs="仿宋"/>
          <w:sz w:val="31"/>
          <w:szCs w:val="31"/>
        </w:rPr>
      </w:pPr>
      <w:r>
        <w:rPr>
          <w:rFonts w:ascii="仿宋" w:eastAsia="仿宋" w:hAnsi="仿宋" w:cs="仿宋" w:hint="eastAsia"/>
          <w:sz w:val="31"/>
          <w:szCs w:val="31"/>
        </w:rPr>
        <w:t xml:space="preserve">   </w:t>
      </w:r>
      <w:r>
        <w:rPr>
          <w:rFonts w:ascii="仿宋" w:eastAsia="仿宋" w:hAnsi="仿宋" w:cs="仿宋" w:hint="eastAsia"/>
          <w:sz w:val="31"/>
          <w:szCs w:val="31"/>
        </w:rPr>
        <w:t>         </w:t>
      </w:r>
      <w:r>
        <w:rPr>
          <w:rFonts w:ascii="仿宋" w:eastAsia="仿宋" w:hAnsi="仿宋" w:cs="仿宋" w:hint="eastAsia"/>
          <w:sz w:val="31"/>
          <w:szCs w:val="31"/>
        </w:rPr>
        <w:t>  202</w:t>
      </w:r>
      <w:r>
        <w:rPr>
          <w:rFonts w:ascii="仿宋" w:eastAsia="仿宋" w:hAnsi="仿宋" w:cs="仿宋" w:hint="eastAsia"/>
          <w:sz w:val="31"/>
          <w:szCs w:val="31"/>
        </w:rPr>
        <w:t>4</w:t>
      </w:r>
      <w:r>
        <w:rPr>
          <w:rFonts w:ascii="仿宋" w:eastAsia="仿宋" w:hAnsi="仿宋" w:cs="仿宋" w:hint="eastAsia"/>
          <w:sz w:val="31"/>
          <w:szCs w:val="31"/>
        </w:rPr>
        <w:t>年</w:t>
      </w:r>
      <w:r w:rsidR="00771920">
        <w:rPr>
          <w:rFonts w:ascii="仿宋" w:eastAsia="仿宋" w:hAnsi="仿宋" w:cs="仿宋" w:hint="eastAsia"/>
          <w:sz w:val="31"/>
          <w:szCs w:val="31"/>
        </w:rPr>
        <w:t>9</w:t>
      </w:r>
      <w:r>
        <w:rPr>
          <w:rFonts w:ascii="仿宋" w:eastAsia="仿宋" w:hAnsi="仿宋" w:cs="仿宋" w:hint="eastAsia"/>
          <w:sz w:val="31"/>
          <w:szCs w:val="31"/>
        </w:rPr>
        <w:t>月</w:t>
      </w:r>
      <w:r w:rsidR="00771920">
        <w:rPr>
          <w:rFonts w:ascii="仿宋" w:eastAsia="仿宋" w:hAnsi="仿宋" w:cs="仿宋" w:hint="eastAsia"/>
          <w:sz w:val="31"/>
          <w:szCs w:val="31"/>
        </w:rPr>
        <w:t>30</w:t>
      </w:r>
      <w:r>
        <w:rPr>
          <w:rFonts w:ascii="仿宋" w:eastAsia="仿宋" w:hAnsi="仿宋" w:cs="仿宋" w:hint="eastAsia"/>
          <w:sz w:val="31"/>
          <w:szCs w:val="31"/>
        </w:rPr>
        <w:t>日</w:t>
      </w:r>
    </w:p>
    <w:p w:rsidR="00A710FA" w:rsidRDefault="00A710FA">
      <w:pPr>
        <w:rPr>
          <w:rFonts w:ascii="仿宋" w:eastAsia="仿宋" w:hAnsi="仿宋" w:cs="仿宋"/>
        </w:rPr>
      </w:pPr>
    </w:p>
    <w:p w:rsidR="00A710FA" w:rsidRDefault="00A710FA">
      <w:bookmarkStart w:id="0" w:name="_GoBack"/>
      <w:bookmarkEnd w:id="0"/>
    </w:p>
    <w:sectPr w:rsidR="00A710FA" w:rsidSect="00A710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5B" w:rsidRDefault="008A235B" w:rsidP="00771920">
      <w:r>
        <w:separator/>
      </w:r>
    </w:p>
  </w:endnote>
  <w:endnote w:type="continuationSeparator" w:id="0">
    <w:p w:rsidR="008A235B" w:rsidRDefault="008A235B" w:rsidP="00771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5B" w:rsidRDefault="008A235B" w:rsidP="00771920">
      <w:r>
        <w:separator/>
      </w:r>
    </w:p>
  </w:footnote>
  <w:footnote w:type="continuationSeparator" w:id="0">
    <w:p w:rsidR="008A235B" w:rsidRDefault="008A235B" w:rsidP="00771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710FA"/>
    <w:rsid w:val="00771920"/>
    <w:rsid w:val="008A235B"/>
    <w:rsid w:val="00A710FA"/>
    <w:rsid w:val="01D77E8F"/>
    <w:rsid w:val="02244C5B"/>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755831"/>
    <w:rsid w:val="3C1317DC"/>
    <w:rsid w:val="3D0C3779"/>
    <w:rsid w:val="3DC9736D"/>
    <w:rsid w:val="3E631CDD"/>
    <w:rsid w:val="3E9E389B"/>
    <w:rsid w:val="40092DFB"/>
    <w:rsid w:val="42510620"/>
    <w:rsid w:val="44311B6B"/>
    <w:rsid w:val="45053C80"/>
    <w:rsid w:val="487B6036"/>
    <w:rsid w:val="48D60A0C"/>
    <w:rsid w:val="54E92E78"/>
    <w:rsid w:val="55696E86"/>
    <w:rsid w:val="57B65F84"/>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710F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710F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A710FA"/>
    <w:pPr>
      <w:ind w:firstLineChars="200" w:firstLine="420"/>
    </w:pPr>
  </w:style>
  <w:style w:type="paragraph" w:styleId="a4">
    <w:name w:val="Normal (Web)"/>
    <w:basedOn w:val="a"/>
    <w:qFormat/>
    <w:rsid w:val="00A710FA"/>
    <w:pPr>
      <w:jc w:val="left"/>
    </w:pPr>
    <w:rPr>
      <w:rFonts w:cs="Times New Roman"/>
      <w:kern w:val="0"/>
      <w:sz w:val="24"/>
    </w:rPr>
  </w:style>
  <w:style w:type="character" w:styleId="a5">
    <w:name w:val="Strong"/>
    <w:basedOn w:val="a0"/>
    <w:qFormat/>
    <w:rsid w:val="00A710FA"/>
    <w:rPr>
      <w:b/>
      <w:bCs/>
    </w:rPr>
  </w:style>
  <w:style w:type="character" w:styleId="a6">
    <w:name w:val="FollowedHyperlink"/>
    <w:basedOn w:val="a0"/>
    <w:qFormat/>
    <w:rsid w:val="00A710FA"/>
    <w:rPr>
      <w:color w:val="337AB7"/>
      <w:u w:val="none"/>
    </w:rPr>
  </w:style>
  <w:style w:type="character" w:styleId="HTML">
    <w:name w:val="HTML Definition"/>
    <w:basedOn w:val="a0"/>
    <w:qFormat/>
    <w:rsid w:val="00A710FA"/>
    <w:rPr>
      <w:i/>
      <w:iCs/>
    </w:rPr>
  </w:style>
  <w:style w:type="character" w:styleId="a7">
    <w:name w:val="Hyperlink"/>
    <w:basedOn w:val="a0"/>
    <w:qFormat/>
    <w:rsid w:val="00A710FA"/>
    <w:rPr>
      <w:color w:val="337AB7"/>
      <w:u w:val="none"/>
    </w:rPr>
  </w:style>
  <w:style w:type="character" w:styleId="HTML0">
    <w:name w:val="HTML Code"/>
    <w:basedOn w:val="a0"/>
    <w:qFormat/>
    <w:rsid w:val="00A710FA"/>
    <w:rPr>
      <w:rFonts w:ascii="Consolas" w:eastAsia="Consolas" w:hAnsi="Consolas" w:cs="Consolas" w:hint="default"/>
      <w:color w:val="C7254E"/>
      <w:sz w:val="21"/>
      <w:szCs w:val="21"/>
      <w:shd w:val="clear" w:color="auto" w:fill="F9F2F4"/>
    </w:rPr>
  </w:style>
  <w:style w:type="character" w:styleId="HTML1">
    <w:name w:val="HTML Keyboard"/>
    <w:basedOn w:val="a0"/>
    <w:qFormat/>
    <w:rsid w:val="00A710FA"/>
    <w:rPr>
      <w:rFonts w:ascii="Consolas" w:eastAsia="Consolas" w:hAnsi="Consolas" w:cs="Consolas"/>
      <w:color w:val="FFFFFF"/>
      <w:sz w:val="21"/>
      <w:szCs w:val="21"/>
      <w:shd w:val="clear" w:color="auto" w:fill="333333"/>
    </w:rPr>
  </w:style>
  <w:style w:type="character" w:styleId="HTML2">
    <w:name w:val="HTML Sample"/>
    <w:basedOn w:val="a0"/>
    <w:qFormat/>
    <w:rsid w:val="00A710FA"/>
    <w:rPr>
      <w:rFonts w:ascii="Consolas" w:eastAsia="Consolas" w:hAnsi="Consolas" w:cs="Consolas" w:hint="default"/>
      <w:sz w:val="21"/>
      <w:szCs w:val="21"/>
    </w:rPr>
  </w:style>
  <w:style w:type="character" w:customStyle="1" w:styleId="layui-layer-tabnow">
    <w:name w:val="layui-layer-tabnow"/>
    <w:basedOn w:val="a0"/>
    <w:qFormat/>
    <w:rsid w:val="00A710FA"/>
    <w:rPr>
      <w:bdr w:val="single" w:sz="6" w:space="0" w:color="CCCCCC"/>
      <w:shd w:val="clear" w:color="auto" w:fill="FFFFFF"/>
    </w:rPr>
  </w:style>
  <w:style w:type="character" w:customStyle="1" w:styleId="first-child">
    <w:name w:val="first-child"/>
    <w:basedOn w:val="a0"/>
    <w:qFormat/>
    <w:rsid w:val="00A710FA"/>
  </w:style>
  <w:style w:type="character" w:customStyle="1" w:styleId="actspan">
    <w:name w:val="actspan"/>
    <w:basedOn w:val="a0"/>
    <w:qFormat/>
    <w:rsid w:val="00A710FA"/>
  </w:style>
  <w:style w:type="character" w:customStyle="1" w:styleId="actspan2">
    <w:name w:val="actspan2"/>
    <w:basedOn w:val="a0"/>
    <w:qFormat/>
    <w:rsid w:val="00A710FA"/>
  </w:style>
  <w:style w:type="paragraph" w:styleId="a8">
    <w:name w:val="header"/>
    <w:basedOn w:val="a"/>
    <w:link w:val="Char"/>
    <w:rsid w:val="00771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71920"/>
    <w:rPr>
      <w:rFonts w:asciiTheme="minorHAnsi" w:eastAsiaTheme="minorEastAsia" w:hAnsiTheme="minorHAnsi" w:cstheme="minorBidi"/>
      <w:kern w:val="2"/>
      <w:sz w:val="18"/>
      <w:szCs w:val="18"/>
    </w:rPr>
  </w:style>
  <w:style w:type="paragraph" w:styleId="a9">
    <w:name w:val="footer"/>
    <w:basedOn w:val="a"/>
    <w:link w:val="Char0"/>
    <w:rsid w:val="00771920"/>
    <w:pPr>
      <w:tabs>
        <w:tab w:val="center" w:pos="4153"/>
        <w:tab w:val="right" w:pos="8306"/>
      </w:tabs>
      <w:snapToGrid w:val="0"/>
      <w:jc w:val="left"/>
    </w:pPr>
    <w:rPr>
      <w:sz w:val="18"/>
      <w:szCs w:val="18"/>
    </w:rPr>
  </w:style>
  <w:style w:type="character" w:customStyle="1" w:styleId="Char0">
    <w:name w:val="页脚 Char"/>
    <w:basedOn w:val="a0"/>
    <w:link w:val="a9"/>
    <w:rsid w:val="007719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2</cp:revision>
  <cp:lastPrinted>2023-06-25T03:07:00Z</cp:lastPrinted>
  <dcterms:created xsi:type="dcterms:W3CDTF">2023-06-07T03:55:00Z</dcterms:created>
  <dcterms:modified xsi:type="dcterms:W3CDTF">2024-09-30T07:56:00Z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