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ascii="方正小标宋简体" w:hAnsi="方正小标宋简体" w:eastAsia="方正小标宋简体" w:cs="方正小标宋简体"/>
          <w:color w:val="auto"/>
          <w:sz w:val="44"/>
          <w:szCs w:val="44"/>
        </w:rPr>
      </w:pPr>
      <w:bookmarkStart w:id="0" w:name="_GoBack"/>
      <w:r>
        <w:rPr>
          <w:rFonts w:hint="eastAsia" w:ascii="方正小标宋简体" w:hAnsi="方正小标宋简体" w:eastAsia="方正小标宋简体" w:cs="方正小标宋简体"/>
          <w:color w:val="auto"/>
          <w:sz w:val="44"/>
          <w:szCs w:val="44"/>
        </w:rPr>
        <w:t>惠州大亚湾区国有建设用地使用权</w:t>
      </w:r>
    </w:p>
    <w:p>
      <w:pPr>
        <w:spacing w:line="7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网上挂牌出让竞买须知</w:t>
      </w:r>
    </w:p>
    <w:p>
      <w:pPr>
        <w:pStyle w:val="9"/>
        <w:widowControl/>
        <w:ind w:firstLine="645"/>
        <w:jc w:val="center"/>
        <w:rPr>
          <w:rFonts w:ascii="宋体" w:hAnsi="宋体" w:eastAsia="宋体" w:cs="宋体"/>
          <w:color w:val="auto"/>
          <w:sz w:val="31"/>
          <w:szCs w:val="31"/>
          <w:highlight w:val="none"/>
        </w:rPr>
      </w:pPr>
      <w:r>
        <w:rPr>
          <w:rFonts w:hint="eastAsia" w:ascii="宋体" w:hAnsi="宋体" w:eastAsia="宋体" w:cs="宋体"/>
          <w:color w:val="auto"/>
          <w:sz w:val="31"/>
          <w:szCs w:val="31"/>
          <w:highlight w:val="none"/>
        </w:rPr>
        <w:t>惠公易土大亚湾（知）[202</w:t>
      </w:r>
      <w:r>
        <w:rPr>
          <w:rFonts w:hint="eastAsia" w:ascii="宋体" w:hAnsi="宋体" w:eastAsia="宋体" w:cs="宋体"/>
          <w:color w:val="auto"/>
          <w:sz w:val="31"/>
          <w:szCs w:val="31"/>
          <w:highlight w:val="none"/>
          <w:lang w:val="en-US" w:eastAsia="zh-CN"/>
        </w:rPr>
        <w:t>5</w:t>
      </w:r>
      <w:r>
        <w:rPr>
          <w:rFonts w:hint="eastAsia" w:ascii="宋体" w:hAnsi="宋体" w:eastAsia="宋体" w:cs="宋体"/>
          <w:color w:val="auto"/>
          <w:sz w:val="31"/>
          <w:szCs w:val="31"/>
          <w:highlight w:val="none"/>
        </w:rPr>
        <w:t>]</w:t>
      </w:r>
      <w:r>
        <w:rPr>
          <w:rFonts w:hint="eastAsia" w:ascii="宋体" w:hAnsi="宋体" w:eastAsia="宋体" w:cs="宋体"/>
          <w:color w:val="auto"/>
          <w:sz w:val="31"/>
          <w:szCs w:val="31"/>
          <w:highlight w:val="none"/>
          <w:lang w:val="en-US" w:eastAsia="zh-CN"/>
        </w:rPr>
        <w:t>004</w:t>
      </w:r>
      <w:r>
        <w:rPr>
          <w:rFonts w:hint="eastAsia" w:ascii="宋体" w:hAnsi="宋体" w:eastAsia="宋体" w:cs="宋体"/>
          <w:color w:val="auto"/>
          <w:sz w:val="31"/>
          <w:szCs w:val="31"/>
          <w:highlight w:val="none"/>
        </w:rPr>
        <w:t>号</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一、国有建设用地使用权网上挂牌出让，是指在惠州市公共资源交易平台发布挂牌出让公告和竞买须知，竞买人通过惠州市公共资源交易中心土地与矿业挂牌电子交易系统（以下简称“电子交易系统”）参与电子挂牌交易的行为。本竞买须知是具备法律约束力的重要文件，竞买人须详细阅读。</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二、本宗国有建设用地使用权网上挂牌出让遵循公开、公平、公正和诚实信用原则。</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三、中华人民共和国境内外的法人和其他组织（除法律法规另有规定外），符合竞买资格的，均可通过电子交易系统，申请参加电子挂牌交易活动。</w:t>
      </w:r>
    </w:p>
    <w:p>
      <w:pPr>
        <w:pStyle w:val="9"/>
        <w:widowControl/>
        <w:ind w:firstLine="645"/>
        <w:rPr>
          <w:rFonts w:ascii="仿宋" w:hAnsi="仿宋" w:eastAsia="仿宋" w:cs="仿宋"/>
          <w:color w:val="auto"/>
          <w:sz w:val="32"/>
          <w:szCs w:val="32"/>
        </w:rPr>
      </w:pPr>
      <w:r>
        <w:rPr>
          <w:rFonts w:hint="eastAsia" w:ascii="仿宋" w:hAnsi="仿宋" w:eastAsia="仿宋" w:cs="仿宋"/>
          <w:color w:val="auto"/>
          <w:sz w:val="32"/>
          <w:szCs w:val="32"/>
        </w:rPr>
        <w:t>惠州大亚湾区国有建设用地使用权网上挂牌出让公告（以下简称“挂牌出让公告”）对竞买资格有特别要求的，以挂牌出让公告为准。</w:t>
      </w:r>
    </w:p>
    <w:p>
      <w:pPr>
        <w:pStyle w:val="9"/>
        <w:widowControl/>
        <w:ind w:firstLine="640"/>
        <w:rPr>
          <w:rFonts w:ascii="仿宋" w:hAnsi="仿宋" w:eastAsia="仿宋" w:cs="仿宋"/>
          <w:color w:val="auto"/>
          <w:sz w:val="32"/>
          <w:szCs w:val="32"/>
        </w:rPr>
      </w:pPr>
      <w:r>
        <w:rPr>
          <w:rFonts w:hint="eastAsia" w:ascii="仿宋" w:hAnsi="仿宋" w:eastAsia="仿宋" w:cs="仿宋"/>
          <w:color w:val="auto"/>
          <w:sz w:val="32"/>
          <w:szCs w:val="32"/>
        </w:rPr>
        <w:t>四、申请人对网上挂牌出让文件有疑问的，可在网上挂牌活动开始前以书面或者口头方式向惠州市公共资源交易中心大亚湾分中心（以下简称“交易中心”）咨询。有意竞买者可自行踏勘现场（可在电子交易系统查阅位置图和现状图）。</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五、网上挂牌交易程序</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（一）发布网上挂牌信息</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有关宗地的电子挂牌出让公告等相关信息通过交易大厅的电子显示屏、中国土地市场网、广东省公共资源交易平台和电子交易系统等媒介同步发布。</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有意竞买者可登录电子交易系统网站(https://tdky.hzggzyjy.cn/)查询。</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（二）挂牌文件获取</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申请人可在电子交易系统浏览和下载本宗地网上挂牌出让文件，具体包括：</w:t>
      </w:r>
    </w:p>
    <w:p>
      <w:pPr>
        <w:ind w:firstLine="640"/>
        <w:rPr>
          <w:rFonts w:ascii="仿宋" w:hAnsi="仿宋" w:eastAsia="仿宋" w:cs="仿宋"/>
          <w:color w:val="auto"/>
          <w:sz w:val="32"/>
          <w:szCs w:val="32"/>
        </w:rPr>
      </w:pPr>
      <w:r>
        <w:rPr>
          <w:rFonts w:ascii="仿宋" w:hAnsi="仿宋" w:eastAsia="仿宋" w:cs="仿宋"/>
          <w:color w:val="auto"/>
          <w:sz w:val="32"/>
          <w:szCs w:val="32"/>
        </w:rPr>
        <w:t>1</w:t>
      </w:r>
      <w:r>
        <w:rPr>
          <w:rFonts w:hint="eastAsia" w:ascii="仿宋" w:hAnsi="仿宋" w:eastAsia="仿宋" w:cs="仿宋"/>
          <w:color w:val="auto"/>
          <w:sz w:val="32"/>
          <w:szCs w:val="32"/>
        </w:rPr>
        <w:t>、惠州大亚湾区国有建设用地使用权网上挂牌出让公告；</w:t>
      </w:r>
    </w:p>
    <w:p>
      <w:pPr>
        <w:ind w:firstLine="640"/>
        <w:rPr>
          <w:rFonts w:ascii="仿宋" w:hAnsi="仿宋" w:eastAsia="仿宋" w:cs="仿宋"/>
          <w:color w:val="auto"/>
          <w:sz w:val="32"/>
          <w:szCs w:val="32"/>
        </w:rPr>
      </w:pPr>
      <w:r>
        <w:rPr>
          <w:rFonts w:ascii="仿宋" w:hAnsi="仿宋" w:eastAsia="仿宋" w:cs="仿宋"/>
          <w:color w:val="auto"/>
          <w:sz w:val="32"/>
          <w:szCs w:val="32"/>
        </w:rPr>
        <w:t>2</w:t>
      </w:r>
      <w:r>
        <w:rPr>
          <w:rFonts w:hint="eastAsia" w:ascii="仿宋" w:hAnsi="仿宋" w:eastAsia="仿宋" w:cs="仿宋"/>
          <w:color w:val="auto"/>
          <w:sz w:val="32"/>
          <w:szCs w:val="32"/>
        </w:rPr>
        <w:t>、惠州大亚湾区国有建设用地使用权网上挂牌出让竞买须知；</w:t>
      </w:r>
    </w:p>
    <w:p>
      <w:pPr>
        <w:ind w:firstLine="640"/>
        <w:rPr>
          <w:rFonts w:ascii="仿宋" w:hAnsi="仿宋" w:eastAsia="仿宋" w:cs="仿宋"/>
          <w:color w:val="auto"/>
          <w:sz w:val="32"/>
          <w:szCs w:val="32"/>
        </w:rPr>
      </w:pPr>
      <w:r>
        <w:rPr>
          <w:rFonts w:ascii="仿宋" w:hAnsi="仿宋" w:eastAsia="仿宋" w:cs="仿宋"/>
          <w:color w:val="auto"/>
          <w:sz w:val="32"/>
          <w:szCs w:val="32"/>
        </w:rPr>
        <w:t>3</w:t>
      </w:r>
      <w:r>
        <w:rPr>
          <w:rFonts w:hint="eastAsia" w:ascii="仿宋" w:hAnsi="仿宋" w:eastAsia="仿宋" w:cs="仿宋"/>
          <w:color w:val="auto"/>
          <w:sz w:val="32"/>
          <w:szCs w:val="32"/>
        </w:rPr>
        <w:t>、挂牌出让地块现状图；</w:t>
      </w:r>
    </w:p>
    <w:p>
      <w:pPr>
        <w:ind w:firstLine="640"/>
        <w:rPr>
          <w:rFonts w:ascii="仿宋" w:hAnsi="仿宋" w:eastAsia="仿宋" w:cs="仿宋"/>
          <w:color w:val="auto"/>
          <w:sz w:val="32"/>
          <w:szCs w:val="32"/>
        </w:rPr>
      </w:pPr>
      <w:r>
        <w:rPr>
          <w:rFonts w:ascii="仿宋" w:hAnsi="仿宋" w:eastAsia="仿宋" w:cs="仿宋"/>
          <w:color w:val="auto"/>
          <w:sz w:val="32"/>
          <w:szCs w:val="32"/>
        </w:rPr>
        <w:t>4</w:t>
      </w:r>
      <w:r>
        <w:rPr>
          <w:rFonts w:hint="eastAsia" w:ascii="仿宋" w:hAnsi="仿宋" w:eastAsia="仿宋" w:cs="仿宋"/>
          <w:color w:val="auto"/>
          <w:sz w:val="32"/>
          <w:szCs w:val="32"/>
        </w:rPr>
        <w:t>、建设用地红线界限图；</w:t>
      </w:r>
    </w:p>
    <w:p>
      <w:pPr>
        <w:ind w:firstLine="640"/>
        <w:rPr>
          <w:rFonts w:ascii="仿宋" w:hAnsi="仿宋" w:eastAsia="仿宋" w:cs="仿宋"/>
          <w:color w:val="auto"/>
          <w:sz w:val="32"/>
          <w:szCs w:val="32"/>
        </w:rPr>
      </w:pPr>
      <w:r>
        <w:rPr>
          <w:rFonts w:ascii="仿宋" w:hAnsi="仿宋" w:eastAsia="仿宋" w:cs="仿宋"/>
          <w:color w:val="auto"/>
          <w:sz w:val="32"/>
          <w:szCs w:val="32"/>
        </w:rPr>
        <w:t>5</w:t>
      </w:r>
      <w:r>
        <w:rPr>
          <w:rFonts w:hint="eastAsia" w:ascii="仿宋" w:hAnsi="仿宋" w:eastAsia="仿宋" w:cs="仿宋"/>
          <w:color w:val="auto"/>
          <w:sz w:val="32"/>
          <w:szCs w:val="32"/>
        </w:rPr>
        <w:t>、规划设计条件告知书；</w:t>
      </w:r>
    </w:p>
    <w:p>
      <w:pPr>
        <w:ind w:firstLine="640"/>
        <w:rPr>
          <w:rFonts w:ascii="仿宋" w:hAnsi="仿宋" w:eastAsia="仿宋" w:cs="仿宋"/>
          <w:color w:val="auto"/>
          <w:sz w:val="32"/>
          <w:szCs w:val="32"/>
        </w:rPr>
      </w:pPr>
      <w:r>
        <w:rPr>
          <w:rFonts w:ascii="仿宋" w:hAnsi="仿宋" w:eastAsia="仿宋" w:cs="仿宋"/>
          <w:color w:val="auto"/>
          <w:sz w:val="32"/>
          <w:szCs w:val="32"/>
        </w:rPr>
        <w:t>6</w:t>
      </w:r>
      <w:r>
        <w:rPr>
          <w:rFonts w:hint="eastAsia" w:ascii="仿宋" w:hAnsi="仿宋" w:eastAsia="仿宋" w:cs="仿宋"/>
          <w:color w:val="auto"/>
          <w:sz w:val="32"/>
          <w:szCs w:val="32"/>
        </w:rPr>
        <w:t>、国有建设用地使用权网上挂牌成交确认书（样本）；</w:t>
      </w:r>
    </w:p>
    <w:p>
      <w:pPr>
        <w:ind w:firstLine="640"/>
        <w:rPr>
          <w:rFonts w:ascii="仿宋" w:hAnsi="仿宋" w:eastAsia="仿宋" w:cs="仿宋"/>
          <w:color w:val="auto"/>
          <w:sz w:val="32"/>
          <w:szCs w:val="32"/>
        </w:rPr>
      </w:pPr>
      <w:r>
        <w:rPr>
          <w:rFonts w:ascii="仿宋" w:hAnsi="仿宋" w:eastAsia="仿宋" w:cs="仿宋"/>
          <w:color w:val="auto"/>
          <w:sz w:val="32"/>
          <w:szCs w:val="32"/>
        </w:rPr>
        <w:t>7</w:t>
      </w:r>
      <w:r>
        <w:rPr>
          <w:rFonts w:hint="eastAsia" w:ascii="仿宋" w:hAnsi="仿宋" w:eastAsia="仿宋" w:cs="仿宋"/>
          <w:color w:val="auto"/>
          <w:sz w:val="32"/>
          <w:szCs w:val="32"/>
        </w:rPr>
        <w:t>、国有建设用地使用权出让合同（样本）；</w:t>
      </w:r>
    </w:p>
    <w:p>
      <w:pPr>
        <w:ind w:firstLine="640"/>
        <w:rPr>
          <w:rFonts w:ascii="仿宋" w:hAnsi="仿宋" w:eastAsia="仿宋" w:cs="仿宋"/>
          <w:color w:val="auto"/>
          <w:sz w:val="32"/>
          <w:szCs w:val="32"/>
        </w:rPr>
      </w:pPr>
      <w:r>
        <w:rPr>
          <w:rFonts w:ascii="仿宋" w:hAnsi="仿宋" w:eastAsia="仿宋" w:cs="仿宋"/>
          <w:color w:val="auto"/>
          <w:sz w:val="32"/>
          <w:szCs w:val="32"/>
        </w:rPr>
        <w:t>8</w:t>
      </w:r>
      <w:r>
        <w:rPr>
          <w:rFonts w:hint="eastAsia" w:ascii="仿宋" w:hAnsi="仿宋" w:eastAsia="仿宋" w:cs="仿宋"/>
          <w:color w:val="auto"/>
          <w:sz w:val="32"/>
          <w:szCs w:val="32"/>
        </w:rPr>
        <w:t>、其他相关文件。</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（三）办理数字证书</w:t>
      </w:r>
    </w:p>
    <w:p>
      <w:pPr>
        <w:ind w:firstLine="640"/>
        <w:rPr>
          <w:rFonts w:ascii="仿宋" w:hAnsi="仿宋" w:eastAsia="仿宋" w:cs="仿宋"/>
          <w:color w:val="auto"/>
          <w:sz w:val="32"/>
          <w:szCs w:val="32"/>
        </w:rPr>
      </w:pPr>
      <w:r>
        <w:rPr>
          <w:rFonts w:ascii="仿宋" w:hAnsi="仿宋" w:eastAsia="仿宋" w:cs="仿宋"/>
          <w:color w:val="auto"/>
          <w:sz w:val="32"/>
          <w:szCs w:val="32"/>
        </w:rPr>
        <w:t>1</w:t>
      </w:r>
      <w:r>
        <w:rPr>
          <w:rFonts w:hint="eastAsia" w:ascii="仿宋" w:hAnsi="仿宋" w:eastAsia="仿宋" w:cs="仿宋"/>
          <w:color w:val="auto"/>
          <w:sz w:val="32"/>
          <w:szCs w:val="32"/>
        </w:rPr>
        <w:t xml:space="preserve">、本宗国有建设用地使用权网上挂牌出让只能在互联网上，通过电子交易系统进行。只有通过网上注册、办理数字证书、按要求足额交付竞买保证金的申请人，才能参加电子交易系统活动。 </w:t>
      </w:r>
    </w:p>
    <w:p>
      <w:pPr>
        <w:ind w:firstLine="640"/>
        <w:rPr>
          <w:rFonts w:ascii="仿宋" w:hAnsi="仿宋" w:eastAsia="仿宋" w:cs="仿宋"/>
          <w:color w:val="auto"/>
          <w:sz w:val="32"/>
          <w:szCs w:val="32"/>
        </w:rPr>
      </w:pPr>
      <w:r>
        <w:rPr>
          <w:rFonts w:ascii="仿宋" w:hAnsi="仿宋" w:eastAsia="仿宋" w:cs="仿宋"/>
          <w:color w:val="auto"/>
          <w:sz w:val="32"/>
          <w:szCs w:val="32"/>
        </w:rPr>
        <w:t>2</w:t>
      </w:r>
      <w:r>
        <w:rPr>
          <w:rFonts w:hint="eastAsia" w:ascii="仿宋" w:hAnsi="仿宋" w:eastAsia="仿宋" w:cs="仿宋"/>
          <w:color w:val="auto"/>
          <w:sz w:val="32"/>
          <w:szCs w:val="32"/>
        </w:rPr>
        <w:t>、办理数字证书是参加本宗地网上挂牌出让活动的必经程序，申请人应当携带相关有效证件到广东省数字证书认证中心惠州办理点（地址：广东省惠州市惠城区三新北路</w:t>
      </w:r>
      <w:r>
        <w:rPr>
          <w:rFonts w:ascii="仿宋" w:hAnsi="仿宋" w:eastAsia="仿宋" w:cs="仿宋"/>
          <w:color w:val="auto"/>
          <w:sz w:val="32"/>
          <w:szCs w:val="32"/>
        </w:rPr>
        <w:t>31</w:t>
      </w:r>
      <w:r>
        <w:rPr>
          <w:rFonts w:hint="eastAsia" w:ascii="仿宋" w:hAnsi="仿宋" w:eastAsia="仿宋" w:cs="仿宋"/>
          <w:color w:val="auto"/>
          <w:sz w:val="32"/>
          <w:szCs w:val="32"/>
        </w:rPr>
        <w:t>号市民服务中心</w:t>
      </w:r>
      <w:r>
        <w:rPr>
          <w:rFonts w:ascii="仿宋" w:hAnsi="仿宋" w:eastAsia="仿宋" w:cs="仿宋"/>
          <w:color w:val="auto"/>
          <w:sz w:val="32"/>
          <w:szCs w:val="32"/>
        </w:rPr>
        <w:t>3</w:t>
      </w:r>
      <w:r>
        <w:rPr>
          <w:rFonts w:hint="eastAsia" w:ascii="仿宋" w:hAnsi="仿宋" w:eastAsia="仿宋" w:cs="仿宋"/>
          <w:color w:val="auto"/>
          <w:sz w:val="32"/>
          <w:szCs w:val="32"/>
        </w:rPr>
        <w:t>号楼惠州市公共资源交易中心一楼大厅</w:t>
      </w:r>
      <w:r>
        <w:rPr>
          <w:rFonts w:ascii="仿宋" w:hAnsi="仿宋" w:eastAsia="仿宋" w:cs="仿宋"/>
          <w:color w:val="auto"/>
          <w:sz w:val="32"/>
          <w:szCs w:val="32"/>
        </w:rPr>
        <w:t>1</w:t>
      </w:r>
      <w:r>
        <w:rPr>
          <w:rFonts w:hint="eastAsia" w:ascii="仿宋" w:hAnsi="仿宋" w:eastAsia="仿宋" w:cs="仿宋"/>
          <w:color w:val="auto"/>
          <w:sz w:val="32"/>
          <w:szCs w:val="32"/>
        </w:rPr>
        <w:t>号土地与矿业交易窗口，电话：</w:t>
      </w:r>
      <w:r>
        <w:rPr>
          <w:rFonts w:ascii="仿宋" w:hAnsi="仿宋" w:eastAsia="仿宋" w:cs="仿宋"/>
          <w:color w:val="auto"/>
          <w:sz w:val="32"/>
          <w:szCs w:val="32"/>
        </w:rPr>
        <w:t>0752-7121029</w:t>
      </w:r>
      <w:r>
        <w:rPr>
          <w:rFonts w:hint="eastAsia" w:ascii="仿宋" w:hAnsi="仿宋" w:eastAsia="仿宋" w:cs="仿宋"/>
          <w:color w:val="auto"/>
          <w:sz w:val="32"/>
          <w:szCs w:val="32"/>
        </w:rPr>
        <w:t>）申请办理。数字证书的办理流程详见电子交易系统上的《数字证书办理指南》。</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（四）申请竞买</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办理好数字证书的申请人决定参加本宗地网上挂牌竞买的，应按电子交易系统要求填写真实有效的申请人身份等信息并在电子交易系统提交竞买申请。联合竞买的，应当按要求如实填写联合竞买各方的相关信息和出资比例。单笔竞买保证金对应一宗国有建设用地使用权竞买，如需竞买多宗国有建设用地使用权，须分别按时足额交纳竞买保证金。竞买保证金交纳截止时间以挂牌出让公告时间为准。</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（五）交纳竞买保证金并获得竞买报价权限</w:t>
      </w:r>
    </w:p>
    <w:p>
      <w:pPr>
        <w:ind w:firstLine="640"/>
        <w:rPr>
          <w:rFonts w:ascii="仿宋" w:hAnsi="仿宋" w:eastAsia="仿宋" w:cs="仿宋"/>
          <w:color w:val="auto"/>
          <w:sz w:val="32"/>
          <w:szCs w:val="32"/>
        </w:rPr>
      </w:pPr>
      <w:r>
        <w:rPr>
          <w:rFonts w:ascii="仿宋" w:hAnsi="仿宋" w:eastAsia="仿宋" w:cs="仿宋"/>
          <w:color w:val="auto"/>
          <w:sz w:val="32"/>
          <w:szCs w:val="32"/>
        </w:rPr>
        <w:t>1</w:t>
      </w:r>
      <w:r>
        <w:rPr>
          <w:rFonts w:hint="eastAsia" w:ascii="仿宋" w:hAnsi="仿宋" w:eastAsia="仿宋" w:cs="仿宋"/>
          <w:color w:val="auto"/>
          <w:sz w:val="32"/>
          <w:szCs w:val="32"/>
        </w:rPr>
        <w:t>.竞买保证金是申请人参加电子交易系统活动的资格条件。按规定将竞买保证金汇入指定账户，是参加网上挂牌交易活动的必经程序。</w:t>
      </w:r>
    </w:p>
    <w:p>
      <w:pPr>
        <w:ind w:firstLine="640"/>
        <w:rPr>
          <w:rFonts w:ascii="仿宋" w:hAnsi="仿宋" w:eastAsia="仿宋" w:cs="仿宋"/>
          <w:color w:val="auto"/>
          <w:sz w:val="32"/>
          <w:szCs w:val="32"/>
        </w:rPr>
      </w:pPr>
      <w:r>
        <w:rPr>
          <w:rFonts w:ascii="仿宋" w:hAnsi="仿宋" w:eastAsia="仿宋" w:cs="仿宋"/>
          <w:color w:val="auto"/>
          <w:sz w:val="32"/>
          <w:szCs w:val="32"/>
        </w:rPr>
        <w:t>2</w:t>
      </w:r>
      <w:r>
        <w:rPr>
          <w:rFonts w:hint="eastAsia" w:ascii="仿宋" w:hAnsi="仿宋" w:eastAsia="仿宋" w:cs="仿宋"/>
          <w:color w:val="auto"/>
          <w:sz w:val="32"/>
          <w:szCs w:val="32"/>
        </w:rPr>
        <w:t>.竞买人应当提前交纳竞买保证金以确保在到账截止时间前到账，超过到账截止时间的保证金，电子交易系统将不予受理，造成的损失由竞买人自行承担。</w:t>
      </w:r>
    </w:p>
    <w:p>
      <w:pPr>
        <w:ind w:firstLine="640"/>
        <w:rPr>
          <w:rFonts w:ascii="仿宋" w:hAnsi="仿宋" w:eastAsia="仿宋" w:cs="仿宋"/>
          <w:color w:val="auto"/>
          <w:sz w:val="32"/>
          <w:szCs w:val="32"/>
        </w:rPr>
      </w:pPr>
      <w:r>
        <w:rPr>
          <w:rFonts w:ascii="仿宋" w:hAnsi="仿宋" w:eastAsia="仿宋" w:cs="仿宋"/>
          <w:color w:val="auto"/>
          <w:sz w:val="32"/>
          <w:szCs w:val="32"/>
        </w:rPr>
        <w:t>3</w:t>
      </w:r>
      <w:r>
        <w:rPr>
          <w:rFonts w:hint="eastAsia" w:ascii="仿宋" w:hAnsi="仿宋" w:eastAsia="仿宋" w:cs="仿宋"/>
          <w:color w:val="auto"/>
          <w:sz w:val="32"/>
          <w:szCs w:val="32"/>
        </w:rPr>
        <w:t>.跨地区或跨行转账的竞买人，需预足资金的在途时间，以免影响竞买人及时取得竞买报价权限。</w:t>
      </w:r>
    </w:p>
    <w:p>
      <w:pPr>
        <w:ind w:firstLine="640"/>
        <w:rPr>
          <w:rFonts w:ascii="仿宋" w:hAnsi="仿宋" w:eastAsia="仿宋" w:cs="仿宋"/>
          <w:color w:val="auto"/>
          <w:sz w:val="32"/>
          <w:szCs w:val="32"/>
        </w:rPr>
      </w:pPr>
      <w:r>
        <w:rPr>
          <w:rFonts w:ascii="仿宋" w:hAnsi="仿宋" w:eastAsia="仿宋" w:cs="仿宋"/>
          <w:color w:val="auto"/>
          <w:sz w:val="32"/>
          <w:szCs w:val="32"/>
        </w:rPr>
        <w:t>4</w:t>
      </w:r>
      <w:r>
        <w:rPr>
          <w:rFonts w:hint="eastAsia" w:ascii="仿宋" w:hAnsi="仿宋" w:eastAsia="仿宋" w:cs="仿宋"/>
          <w:color w:val="auto"/>
          <w:sz w:val="32"/>
          <w:szCs w:val="32"/>
        </w:rPr>
        <w:t>.竞买保证金到账时间以电子交易系统确认并发出《竞买保证金到账通知书》为准。</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5.竞买保证金开户单位：惠州市公共资源交易中心大亚湾分中心</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竞买保证金账号：电子交易系统随机产生竞买保证金支付账号。</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开户银行：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（1）中国银行惠州大亚湾支行；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（2）中国工商银行惠州大亚湾支行；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（3）中国农业银行惠州大亚湾支行；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（4）惠州农商银行大亚湾支行；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（5）中国建设银行股份有限公司惠州大亚湾支行；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（6）交通银行惠州大亚湾支行；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（7）珠海华润银行股份有限公司惠州大亚湾支行；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（8）兴业银行股份有限公司惠州分行。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6.申请人应根据电子交易系统生成的随机保证金账号按时足额交纳竞买保证金，并在电子交易系统确认竞买保证金到账之后，赋予竞买人对应宗地的竞买报价权限。</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（六）竞买人电子报价及电子限时竞价</w:t>
      </w:r>
    </w:p>
    <w:p>
      <w:pPr>
        <w:ind w:firstLine="640"/>
        <w:rPr>
          <w:rFonts w:ascii="仿宋" w:hAnsi="仿宋" w:eastAsia="仿宋" w:cs="仿宋"/>
          <w:color w:val="auto"/>
          <w:sz w:val="32"/>
          <w:szCs w:val="32"/>
        </w:rPr>
      </w:pPr>
      <w:r>
        <w:rPr>
          <w:rFonts w:ascii="仿宋" w:hAnsi="仿宋" w:eastAsia="仿宋" w:cs="仿宋"/>
          <w:color w:val="auto"/>
          <w:sz w:val="32"/>
          <w:szCs w:val="32"/>
        </w:rPr>
        <w:t>1</w:t>
      </w:r>
      <w:r>
        <w:rPr>
          <w:rFonts w:hint="eastAsia" w:ascii="仿宋" w:hAnsi="仿宋" w:eastAsia="仿宋" w:cs="仿宋"/>
          <w:color w:val="auto"/>
          <w:sz w:val="32"/>
          <w:szCs w:val="32"/>
        </w:rPr>
        <w:t>.竞买人通过电子交易系统进行报价。电子报价和电子限时竞价按以下规则进行：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w:t>
      </w:r>
      <w:r>
        <w:rPr>
          <w:rFonts w:ascii="仿宋" w:hAnsi="仿宋" w:eastAsia="仿宋" w:cs="仿宋"/>
          <w:color w:val="auto"/>
          <w:sz w:val="32"/>
          <w:szCs w:val="32"/>
        </w:rPr>
        <w:t>1</w:t>
      </w:r>
      <w:r>
        <w:rPr>
          <w:rFonts w:hint="eastAsia" w:ascii="仿宋" w:hAnsi="仿宋" w:eastAsia="仿宋" w:cs="仿宋"/>
          <w:color w:val="auto"/>
          <w:sz w:val="32"/>
          <w:szCs w:val="32"/>
        </w:rPr>
        <w:t>）增价方式进行报价；</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w:t>
      </w:r>
      <w:r>
        <w:rPr>
          <w:rFonts w:ascii="仿宋" w:hAnsi="仿宋" w:eastAsia="仿宋" w:cs="仿宋"/>
          <w:color w:val="auto"/>
          <w:sz w:val="32"/>
          <w:szCs w:val="32"/>
        </w:rPr>
        <w:t>2</w:t>
      </w:r>
      <w:r>
        <w:rPr>
          <w:rFonts w:hint="eastAsia" w:ascii="仿宋" w:hAnsi="仿宋" w:eastAsia="仿宋" w:cs="仿宋"/>
          <w:color w:val="auto"/>
          <w:sz w:val="32"/>
          <w:szCs w:val="32"/>
        </w:rPr>
        <w:t>）竞买人可多次报价；</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w:t>
      </w:r>
      <w:r>
        <w:rPr>
          <w:rFonts w:ascii="仿宋" w:hAnsi="仿宋" w:eastAsia="仿宋" w:cs="仿宋"/>
          <w:color w:val="auto"/>
          <w:sz w:val="32"/>
          <w:szCs w:val="32"/>
        </w:rPr>
        <w:t>3</w:t>
      </w:r>
      <w:r>
        <w:rPr>
          <w:rFonts w:hint="eastAsia" w:ascii="仿宋" w:hAnsi="仿宋" w:eastAsia="仿宋" w:cs="仿宋"/>
          <w:color w:val="auto"/>
          <w:sz w:val="32"/>
          <w:szCs w:val="32"/>
        </w:rPr>
        <w:t>）初次报价不得低于起始价；</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w:t>
      </w:r>
      <w:r>
        <w:rPr>
          <w:rFonts w:ascii="仿宋" w:hAnsi="仿宋" w:eastAsia="仿宋" w:cs="仿宋"/>
          <w:color w:val="auto"/>
          <w:sz w:val="32"/>
          <w:szCs w:val="32"/>
        </w:rPr>
        <w:t>4</w:t>
      </w:r>
      <w:r>
        <w:rPr>
          <w:rFonts w:hint="eastAsia" w:ascii="仿宋" w:hAnsi="仿宋" w:eastAsia="仿宋" w:cs="仿宋"/>
          <w:color w:val="auto"/>
          <w:sz w:val="32"/>
          <w:szCs w:val="32"/>
        </w:rPr>
        <w:t>）每次增价数额应是规定的增价幅度的整数倍；</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w:t>
      </w:r>
      <w:r>
        <w:rPr>
          <w:rFonts w:ascii="仿宋" w:hAnsi="仿宋" w:eastAsia="仿宋" w:cs="仿宋"/>
          <w:color w:val="auto"/>
          <w:sz w:val="32"/>
          <w:szCs w:val="32"/>
        </w:rPr>
        <w:t>5</w:t>
      </w:r>
      <w:r>
        <w:rPr>
          <w:rFonts w:hint="eastAsia" w:ascii="仿宋" w:hAnsi="仿宋" w:eastAsia="仿宋" w:cs="仿宋"/>
          <w:color w:val="auto"/>
          <w:sz w:val="32"/>
          <w:szCs w:val="32"/>
        </w:rPr>
        <w:t>）每次报价应当比当前最高报价至少递增</w:t>
      </w:r>
      <w:r>
        <w:rPr>
          <w:rFonts w:ascii="仿宋" w:hAnsi="仿宋" w:eastAsia="仿宋" w:cs="仿宋"/>
          <w:color w:val="auto"/>
          <w:sz w:val="32"/>
          <w:szCs w:val="32"/>
        </w:rPr>
        <w:t>1</w:t>
      </w:r>
      <w:r>
        <w:rPr>
          <w:rFonts w:hint="eastAsia" w:ascii="仿宋" w:hAnsi="仿宋" w:eastAsia="仿宋" w:cs="仿宋"/>
          <w:color w:val="auto"/>
          <w:sz w:val="32"/>
          <w:szCs w:val="32"/>
        </w:rPr>
        <w:t>个增价幅度。</w:t>
      </w:r>
    </w:p>
    <w:p>
      <w:pPr>
        <w:ind w:firstLine="640"/>
        <w:rPr>
          <w:rFonts w:ascii="仿宋" w:hAnsi="仿宋" w:eastAsia="仿宋" w:cs="仿宋"/>
          <w:color w:val="auto"/>
          <w:sz w:val="32"/>
          <w:szCs w:val="32"/>
        </w:rPr>
      </w:pPr>
      <w:r>
        <w:rPr>
          <w:rFonts w:ascii="仿宋" w:hAnsi="仿宋" w:eastAsia="仿宋" w:cs="仿宋"/>
          <w:color w:val="auto"/>
          <w:sz w:val="32"/>
          <w:szCs w:val="32"/>
        </w:rPr>
        <w:t>2</w:t>
      </w:r>
      <w:r>
        <w:rPr>
          <w:rFonts w:hint="eastAsia" w:ascii="仿宋" w:hAnsi="仿宋" w:eastAsia="仿宋" w:cs="仿宋"/>
          <w:color w:val="auto"/>
          <w:sz w:val="32"/>
          <w:szCs w:val="32"/>
        </w:rPr>
        <w:t>.竞买人应当谨慎报价，报价一经提交并经电子交易系系统确认为有效报价，不可撤回。</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电子挂牌交易期限截止前，竞买人应当进行至少一次有效报价，方有资格参加该宗地的电子限时竞价。</w:t>
      </w:r>
    </w:p>
    <w:p>
      <w:pPr>
        <w:ind w:firstLine="640"/>
        <w:rPr>
          <w:rFonts w:ascii="仿宋" w:hAnsi="仿宋" w:eastAsia="仿宋" w:cs="仿宋"/>
          <w:color w:val="auto"/>
          <w:sz w:val="32"/>
          <w:szCs w:val="32"/>
        </w:rPr>
      </w:pPr>
      <w:r>
        <w:rPr>
          <w:rFonts w:ascii="仿宋" w:hAnsi="仿宋" w:eastAsia="仿宋" w:cs="仿宋"/>
          <w:color w:val="auto"/>
          <w:sz w:val="32"/>
          <w:szCs w:val="32"/>
        </w:rPr>
        <w:t>3</w:t>
      </w:r>
      <w:r>
        <w:rPr>
          <w:rFonts w:hint="eastAsia" w:ascii="仿宋" w:hAnsi="仿宋" w:eastAsia="仿宋" w:cs="仿宋"/>
          <w:color w:val="auto"/>
          <w:sz w:val="32"/>
          <w:szCs w:val="32"/>
        </w:rPr>
        <w:t>.电子限时竞价是指在挂牌出让公告规定的电子挂牌交易期限截止时，有</w:t>
      </w:r>
      <w:r>
        <w:rPr>
          <w:rFonts w:ascii="仿宋" w:hAnsi="仿宋" w:eastAsia="仿宋" w:cs="仿宋"/>
          <w:color w:val="auto"/>
          <w:sz w:val="32"/>
          <w:szCs w:val="32"/>
        </w:rPr>
        <w:t>2</w:t>
      </w:r>
      <w:r>
        <w:rPr>
          <w:rFonts w:hint="eastAsia" w:ascii="仿宋" w:hAnsi="仿宋" w:eastAsia="仿宋" w:cs="仿宋"/>
          <w:color w:val="auto"/>
          <w:sz w:val="32"/>
          <w:szCs w:val="32"/>
        </w:rPr>
        <w:t>个以上的竞买人报价，且经电子交易系统询问，</w:t>
      </w:r>
      <w:r>
        <w:rPr>
          <w:rFonts w:ascii="仿宋" w:hAnsi="仿宋" w:eastAsia="仿宋" w:cs="仿宋"/>
          <w:color w:val="auto"/>
          <w:sz w:val="32"/>
          <w:szCs w:val="32"/>
        </w:rPr>
        <w:t>5</w:t>
      </w:r>
      <w:r>
        <w:rPr>
          <w:rFonts w:hint="eastAsia" w:ascii="仿宋" w:hAnsi="仿宋" w:eastAsia="仿宋" w:cs="仿宋"/>
          <w:color w:val="auto"/>
          <w:sz w:val="32"/>
          <w:szCs w:val="32"/>
        </w:rPr>
        <w:t>分钟内限时决定是否愿意继续报价</w:t>
      </w:r>
      <w:r>
        <w:rPr>
          <w:rFonts w:ascii="仿宋" w:hAnsi="仿宋" w:eastAsia="仿宋" w:cs="仿宋"/>
          <w:color w:val="auto"/>
          <w:sz w:val="32"/>
          <w:szCs w:val="32"/>
        </w:rPr>
        <w:t>,</w:t>
      </w:r>
      <w:r>
        <w:rPr>
          <w:rFonts w:hint="eastAsia" w:ascii="仿宋" w:hAnsi="仿宋" w:eastAsia="仿宋" w:cs="仿宋"/>
          <w:color w:val="auto"/>
          <w:sz w:val="32"/>
          <w:szCs w:val="32"/>
        </w:rPr>
        <w:t>有竞买人愿意继续报价的，电子交易系统以高于当前最高报价一个增价幅度的价格为起始价，电子交易系统开始第一次</w:t>
      </w:r>
      <w:r>
        <w:rPr>
          <w:rFonts w:ascii="仿宋" w:hAnsi="仿宋" w:eastAsia="仿宋" w:cs="仿宋"/>
          <w:color w:val="auto"/>
          <w:sz w:val="32"/>
          <w:szCs w:val="32"/>
        </w:rPr>
        <w:t>5</w:t>
      </w:r>
      <w:r>
        <w:rPr>
          <w:rFonts w:hint="eastAsia" w:ascii="仿宋" w:hAnsi="仿宋" w:eastAsia="仿宋" w:cs="仿宋"/>
          <w:color w:val="auto"/>
          <w:sz w:val="32"/>
          <w:szCs w:val="32"/>
        </w:rPr>
        <w:t>分钟倒计时限时报价，如在</w:t>
      </w:r>
      <w:r>
        <w:rPr>
          <w:rFonts w:ascii="仿宋" w:hAnsi="仿宋" w:eastAsia="仿宋" w:cs="仿宋"/>
          <w:color w:val="auto"/>
          <w:sz w:val="32"/>
          <w:szCs w:val="32"/>
        </w:rPr>
        <w:t>5</w:t>
      </w:r>
      <w:r>
        <w:rPr>
          <w:rFonts w:hint="eastAsia" w:ascii="仿宋" w:hAnsi="仿宋" w:eastAsia="仿宋" w:cs="仿宋"/>
          <w:color w:val="auto"/>
          <w:sz w:val="32"/>
          <w:szCs w:val="32"/>
        </w:rPr>
        <w:t>分钟内的任一时点有新的有效报价，电子交易系统即从此时点起重新计算</w:t>
      </w:r>
      <w:r>
        <w:rPr>
          <w:rFonts w:ascii="仿宋" w:hAnsi="仿宋" w:eastAsia="仿宋" w:cs="仿宋"/>
          <w:color w:val="auto"/>
          <w:sz w:val="32"/>
          <w:szCs w:val="32"/>
        </w:rPr>
        <w:t>5</w:t>
      </w:r>
      <w:r>
        <w:rPr>
          <w:rFonts w:hint="eastAsia" w:ascii="仿宋" w:hAnsi="仿宋" w:eastAsia="仿宋" w:cs="仿宋"/>
          <w:color w:val="auto"/>
          <w:sz w:val="32"/>
          <w:szCs w:val="32"/>
        </w:rPr>
        <w:t>分钟的限时报价时间，供竞买人作新一轮报价，并按此方式不断顺延下去</w:t>
      </w:r>
      <w:r>
        <w:rPr>
          <w:rFonts w:ascii="仿宋" w:hAnsi="仿宋" w:eastAsia="仿宋" w:cs="仿宋"/>
          <w:color w:val="auto"/>
          <w:sz w:val="32"/>
          <w:szCs w:val="32"/>
        </w:rPr>
        <w:t>,</w:t>
      </w:r>
      <w:r>
        <w:rPr>
          <w:rFonts w:hint="eastAsia" w:ascii="仿宋" w:hAnsi="仿宋" w:eastAsia="仿宋" w:cs="仿宋"/>
          <w:color w:val="auto"/>
          <w:sz w:val="32"/>
          <w:szCs w:val="32"/>
        </w:rPr>
        <w:t>直至</w:t>
      </w:r>
      <w:r>
        <w:rPr>
          <w:rFonts w:ascii="仿宋" w:hAnsi="仿宋" w:eastAsia="仿宋" w:cs="仿宋"/>
          <w:color w:val="auto"/>
          <w:sz w:val="32"/>
          <w:szCs w:val="32"/>
        </w:rPr>
        <w:t>5</w:t>
      </w:r>
      <w:r>
        <w:rPr>
          <w:rFonts w:hint="eastAsia" w:ascii="仿宋" w:hAnsi="仿宋" w:eastAsia="仿宋" w:cs="仿宋"/>
          <w:color w:val="auto"/>
          <w:sz w:val="32"/>
          <w:szCs w:val="32"/>
        </w:rPr>
        <w:t>分钟限时报价时间内没有新的有效报价，电子交易系统将自动关闭报价通道，确认当前最高报价为最终报价，电子交易系统即时显示电子挂牌竞价结果。</w:t>
      </w:r>
    </w:p>
    <w:p>
      <w:pPr>
        <w:ind w:firstLine="640"/>
        <w:rPr>
          <w:rFonts w:ascii="仿宋" w:hAnsi="仿宋" w:eastAsia="仿宋" w:cs="仿宋"/>
          <w:color w:val="auto"/>
          <w:sz w:val="32"/>
          <w:szCs w:val="32"/>
        </w:rPr>
      </w:pPr>
      <w:r>
        <w:rPr>
          <w:rFonts w:ascii="仿宋" w:hAnsi="仿宋" w:eastAsia="仿宋" w:cs="仿宋"/>
          <w:color w:val="auto"/>
          <w:sz w:val="32"/>
          <w:szCs w:val="32"/>
        </w:rPr>
        <w:t>4</w:t>
      </w:r>
      <w:r>
        <w:rPr>
          <w:rFonts w:hint="eastAsia" w:ascii="仿宋" w:hAnsi="仿宋" w:eastAsia="仿宋" w:cs="仿宋"/>
          <w:color w:val="auto"/>
          <w:sz w:val="32"/>
          <w:szCs w:val="32"/>
        </w:rPr>
        <w:t>.竞买人应当在电子挂牌交易期限截止前登录电子交易系统，密切关注交易动态。竞买人应当在电子挂牌交易时限截止后</w:t>
      </w:r>
      <w:r>
        <w:rPr>
          <w:rFonts w:ascii="仿宋" w:hAnsi="仿宋" w:eastAsia="仿宋" w:cs="仿宋"/>
          <w:color w:val="auto"/>
          <w:sz w:val="32"/>
          <w:szCs w:val="32"/>
        </w:rPr>
        <w:t>5</w:t>
      </w:r>
      <w:r>
        <w:rPr>
          <w:rFonts w:hint="eastAsia" w:ascii="仿宋" w:hAnsi="仿宋" w:eastAsia="仿宋" w:cs="仿宋"/>
          <w:color w:val="auto"/>
          <w:sz w:val="32"/>
          <w:szCs w:val="32"/>
        </w:rPr>
        <w:t>分钟内做出是否参加电子限时竞价的决定并提交电子交易系统，超过</w:t>
      </w:r>
      <w:r>
        <w:rPr>
          <w:rFonts w:ascii="仿宋" w:hAnsi="仿宋" w:eastAsia="仿宋" w:cs="仿宋"/>
          <w:color w:val="auto"/>
          <w:sz w:val="32"/>
          <w:szCs w:val="32"/>
        </w:rPr>
        <w:t>5</w:t>
      </w:r>
      <w:r>
        <w:rPr>
          <w:rFonts w:hint="eastAsia" w:ascii="仿宋" w:hAnsi="仿宋" w:eastAsia="仿宋" w:cs="仿宋"/>
          <w:color w:val="auto"/>
          <w:sz w:val="32"/>
          <w:szCs w:val="32"/>
        </w:rPr>
        <w:t>分钟未提交的，电子交易系统默认该竞买人参加电子限时竞价活动。</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（七）确定成交候选人</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电子挂牌交易按照下列规则确定成交候选人：</w:t>
      </w:r>
    </w:p>
    <w:p>
      <w:pPr>
        <w:ind w:firstLine="640"/>
        <w:rPr>
          <w:rFonts w:ascii="仿宋" w:hAnsi="仿宋" w:eastAsia="仿宋" w:cs="仿宋"/>
          <w:color w:val="auto"/>
          <w:sz w:val="32"/>
          <w:szCs w:val="32"/>
        </w:rPr>
      </w:pPr>
      <w:r>
        <w:rPr>
          <w:rFonts w:ascii="仿宋" w:hAnsi="仿宋" w:eastAsia="仿宋" w:cs="仿宋"/>
          <w:color w:val="auto"/>
          <w:sz w:val="32"/>
          <w:szCs w:val="32"/>
        </w:rPr>
        <w:t>1</w:t>
      </w:r>
      <w:r>
        <w:rPr>
          <w:rFonts w:hint="eastAsia" w:ascii="仿宋" w:hAnsi="仿宋" w:eastAsia="仿宋" w:cs="仿宋"/>
          <w:color w:val="auto"/>
          <w:sz w:val="32"/>
          <w:szCs w:val="32"/>
        </w:rPr>
        <w:t>.在电子挂牌交易期限内只有</w:t>
      </w:r>
      <w:r>
        <w:rPr>
          <w:rFonts w:ascii="仿宋" w:hAnsi="仿宋" w:eastAsia="仿宋" w:cs="仿宋"/>
          <w:color w:val="auto"/>
          <w:sz w:val="32"/>
          <w:szCs w:val="32"/>
        </w:rPr>
        <w:t>1</w:t>
      </w:r>
      <w:r>
        <w:rPr>
          <w:rFonts w:hint="eastAsia" w:ascii="仿宋" w:hAnsi="仿宋" w:eastAsia="仿宋" w:cs="仿宋"/>
          <w:color w:val="auto"/>
          <w:sz w:val="32"/>
          <w:szCs w:val="32"/>
        </w:rPr>
        <w:t>个竞买人报价，且报价不低于起始价的，则该报价者为成交候选人；</w:t>
      </w:r>
    </w:p>
    <w:p>
      <w:pPr>
        <w:ind w:firstLine="640"/>
        <w:rPr>
          <w:rFonts w:ascii="仿宋" w:hAnsi="仿宋" w:eastAsia="仿宋" w:cs="仿宋"/>
          <w:color w:val="auto"/>
          <w:sz w:val="32"/>
          <w:szCs w:val="32"/>
        </w:rPr>
      </w:pPr>
      <w:r>
        <w:rPr>
          <w:rFonts w:ascii="仿宋" w:hAnsi="仿宋" w:eastAsia="仿宋" w:cs="仿宋"/>
          <w:color w:val="auto"/>
          <w:sz w:val="32"/>
          <w:szCs w:val="32"/>
        </w:rPr>
        <w:t>2</w:t>
      </w:r>
      <w:r>
        <w:rPr>
          <w:rFonts w:hint="eastAsia" w:ascii="仿宋" w:hAnsi="仿宋" w:eastAsia="仿宋" w:cs="仿宋"/>
          <w:color w:val="auto"/>
          <w:sz w:val="32"/>
          <w:szCs w:val="32"/>
        </w:rPr>
        <w:t>.电子挂牌交易期限内有</w:t>
      </w:r>
      <w:r>
        <w:rPr>
          <w:rFonts w:ascii="仿宋" w:hAnsi="仿宋" w:eastAsia="仿宋" w:cs="仿宋"/>
          <w:color w:val="auto"/>
          <w:sz w:val="32"/>
          <w:szCs w:val="32"/>
        </w:rPr>
        <w:t>2</w:t>
      </w:r>
      <w:r>
        <w:rPr>
          <w:rFonts w:hint="eastAsia" w:ascii="仿宋" w:hAnsi="仿宋" w:eastAsia="仿宋" w:cs="仿宋"/>
          <w:color w:val="auto"/>
          <w:sz w:val="32"/>
          <w:szCs w:val="32"/>
        </w:rPr>
        <w:t>个以上的竞买人报价，经电子交易系统询问，无竞买人愿意参加电子限时竞价的，以当前报价最高且报价不低于起始价者为成交候选人；</w:t>
      </w:r>
    </w:p>
    <w:p>
      <w:pPr>
        <w:ind w:firstLine="640"/>
        <w:rPr>
          <w:rFonts w:ascii="仿宋" w:hAnsi="仿宋" w:eastAsia="仿宋" w:cs="仿宋"/>
          <w:color w:val="auto"/>
          <w:sz w:val="32"/>
          <w:szCs w:val="32"/>
        </w:rPr>
      </w:pPr>
      <w:r>
        <w:rPr>
          <w:rFonts w:ascii="仿宋" w:hAnsi="仿宋" w:eastAsia="仿宋" w:cs="仿宋"/>
          <w:color w:val="auto"/>
          <w:sz w:val="32"/>
          <w:szCs w:val="32"/>
        </w:rPr>
        <w:t>3</w:t>
      </w:r>
      <w:r>
        <w:rPr>
          <w:rFonts w:hint="eastAsia" w:ascii="仿宋" w:hAnsi="仿宋" w:eastAsia="仿宋" w:cs="仿宋"/>
          <w:color w:val="auto"/>
          <w:sz w:val="32"/>
          <w:szCs w:val="32"/>
        </w:rPr>
        <w:t>.电子挂牌交易期限内无报价的，挂牌不成交；</w:t>
      </w:r>
    </w:p>
    <w:p>
      <w:pPr>
        <w:ind w:firstLine="640"/>
        <w:rPr>
          <w:rFonts w:ascii="仿宋" w:hAnsi="仿宋" w:eastAsia="仿宋" w:cs="仿宋"/>
          <w:color w:val="auto"/>
          <w:sz w:val="32"/>
          <w:szCs w:val="32"/>
        </w:rPr>
      </w:pPr>
      <w:r>
        <w:rPr>
          <w:rFonts w:ascii="仿宋" w:hAnsi="仿宋" w:eastAsia="仿宋" w:cs="仿宋"/>
          <w:color w:val="auto"/>
          <w:sz w:val="32"/>
          <w:szCs w:val="32"/>
        </w:rPr>
        <w:t>4</w:t>
      </w:r>
      <w:r>
        <w:rPr>
          <w:rFonts w:hint="eastAsia" w:ascii="仿宋" w:hAnsi="仿宋" w:eastAsia="仿宋" w:cs="仿宋"/>
          <w:color w:val="auto"/>
          <w:sz w:val="32"/>
          <w:szCs w:val="32"/>
        </w:rPr>
        <w:t>.进入电子限时竞价，电子限时竞价中报价最高且报价不低于起始价者为成交候选人；</w:t>
      </w:r>
    </w:p>
    <w:p>
      <w:pPr>
        <w:ind w:firstLine="640"/>
        <w:rPr>
          <w:rFonts w:ascii="仿宋" w:hAnsi="仿宋" w:eastAsia="仿宋" w:cs="仿宋"/>
          <w:color w:val="auto"/>
          <w:sz w:val="32"/>
          <w:szCs w:val="32"/>
        </w:rPr>
      </w:pPr>
      <w:r>
        <w:rPr>
          <w:rFonts w:ascii="仿宋" w:hAnsi="仿宋" w:eastAsia="仿宋" w:cs="仿宋"/>
          <w:color w:val="auto"/>
          <w:sz w:val="32"/>
          <w:szCs w:val="32"/>
        </w:rPr>
        <w:t>5</w:t>
      </w:r>
      <w:r>
        <w:rPr>
          <w:rFonts w:hint="eastAsia" w:ascii="仿宋" w:hAnsi="仿宋" w:eastAsia="仿宋" w:cs="仿宋"/>
          <w:color w:val="auto"/>
          <w:sz w:val="32"/>
          <w:szCs w:val="32"/>
        </w:rPr>
        <w:t>.电子限时竞价中无竞买人报价的，以电子挂牌交易截止时报价最高且报价不低于起始价者为成交候选人。</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（八）成交候选人竞买资格审查</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本宗国有建设用地使用权网上挂牌出让实行竞买资格后置审查。</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电子挂牌交易结束后，电子挂牌竞价结果即时通过电子交易系统发布。成交候选人应当在电子挂牌竞价结果公布后，按挂牌出让公告及竞买须知的要求将相关资料提交至委托人，由委托人进行竞买资格审查。符合竞买资格的，确定成交候选人为竞得人。</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不符合竞买资格的，取消成交候选人资格，竞价结果无效。</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（九）公布交易结果</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委托人确定竞得人后，由本中心通过电子交易系统发布交易结果。</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（十）签订成交确认书和交易合同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确定竞得人后，竞得人按挂牌出让公告规定的时间与委托人、本中心签订《国有建设用地使用权网上挂牌成交确认书》（以下简称</w:t>
      </w:r>
      <w:r>
        <w:rPr>
          <w:rFonts w:ascii="仿宋" w:hAnsi="仿宋" w:eastAsia="仿宋" w:cs="仿宋"/>
          <w:color w:val="auto"/>
          <w:sz w:val="32"/>
          <w:szCs w:val="32"/>
        </w:rPr>
        <w:t>“</w:t>
      </w:r>
      <w:r>
        <w:rPr>
          <w:rFonts w:hint="eastAsia" w:ascii="仿宋" w:hAnsi="仿宋" w:eastAsia="仿宋" w:cs="仿宋"/>
          <w:color w:val="auto"/>
          <w:sz w:val="32"/>
          <w:szCs w:val="32"/>
        </w:rPr>
        <w:t>成交确认书</w:t>
      </w:r>
      <w:r>
        <w:rPr>
          <w:rFonts w:ascii="仿宋" w:hAnsi="仿宋" w:eastAsia="仿宋" w:cs="仿宋"/>
          <w:color w:val="auto"/>
          <w:sz w:val="32"/>
          <w:szCs w:val="32"/>
        </w:rPr>
        <w:t>”</w:t>
      </w:r>
      <w:r>
        <w:rPr>
          <w:rFonts w:hint="eastAsia" w:ascii="仿宋" w:hAnsi="仿宋" w:eastAsia="仿宋" w:cs="仿宋"/>
          <w:color w:val="auto"/>
          <w:sz w:val="32"/>
          <w:szCs w:val="32"/>
        </w:rPr>
        <w:t>），竞得人根据成交确认书约定的时间与委托人签订交易合同。</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六、系统操作</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电子交易系统竞买人操作视频可在本中心电子交易系统下载。</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七、注意事项</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一）竞买人须详细阅读挂牌出让公告、竞买须知及《惠州市政务服务数据管理局惠州市公共资源交易中心公共资源电子交易规则》，竞买申请一经受理确认后，即视为竞买人对挂牌出让公告、竞买须知、相关交易文件及地块现状无异议并全部接受，对有关承诺承担法律责任。</w:t>
      </w:r>
    </w:p>
    <w:p>
      <w:pPr>
        <w:pStyle w:val="9"/>
        <w:widowControl/>
        <w:ind w:firstLine="645"/>
        <w:rPr>
          <w:rFonts w:ascii="仿宋" w:hAnsi="仿宋" w:eastAsia="仿宋" w:cs="仿宋"/>
          <w:color w:val="auto"/>
          <w:kern w:val="2"/>
          <w:sz w:val="32"/>
          <w:szCs w:val="32"/>
        </w:rPr>
      </w:pPr>
      <w:r>
        <w:rPr>
          <w:rFonts w:hint="eastAsia" w:ascii="仿宋" w:hAnsi="仿宋" w:eastAsia="仿宋" w:cs="仿宋"/>
          <w:color w:val="auto"/>
          <w:kern w:val="2"/>
          <w:sz w:val="32"/>
          <w:szCs w:val="32"/>
        </w:rPr>
        <w:t>（二）联合申请竞买的，联合竞买人在提交竞买申请材料时，须提交联合竞买申请书和协议，协议主要规定联合各方的权利和义务、参与竞买的代表人、联合各方的出资比例等。</w:t>
      </w:r>
    </w:p>
    <w:p>
      <w:pPr>
        <w:pStyle w:val="9"/>
        <w:widowControl/>
        <w:ind w:firstLine="645"/>
        <w:rPr>
          <w:rFonts w:ascii="仿宋" w:hAnsi="仿宋" w:eastAsia="仿宋" w:cs="仿宋"/>
          <w:color w:val="auto"/>
          <w:kern w:val="2"/>
          <w:sz w:val="32"/>
          <w:szCs w:val="32"/>
        </w:rPr>
      </w:pPr>
      <w:r>
        <w:rPr>
          <w:rFonts w:hint="eastAsia" w:ascii="仿宋" w:hAnsi="仿宋" w:eastAsia="仿宋" w:cs="仿宋"/>
          <w:color w:val="auto"/>
          <w:kern w:val="2"/>
          <w:sz w:val="32"/>
          <w:szCs w:val="32"/>
        </w:rPr>
        <w:t>（三）境外成交候选人按照规定提交的有关身份证明及其他相关文件，应按规定由中华人民共和国驻该国、该地区大使馆或领事馆公证或认证；香港成交候选人身份证明及其他相关文件应由中华人民共和国司法部授权的香港律师公证人公证并由中国法律服务（香港）有限公司加盖转递章；澳门成交候选人身份证明及其他相关文件应由中华人民共和国司法部授权的澳门律师公证人公证；台湾成交候选人身份证明及其他相关文件应由台湾公证人公证并存广东省公证协会副本备案。</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（四）《竞价结果通知书》对委托人和成交候选人具有法律效力，委托人改变网上挂牌结果的，或者成交候选人放弃竞得宗地的，应当承担相应法律责任。</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竞得人应按挂牌出让公告规定的时间与本中心、委托人签订成交确认书，根据成交确认书约定的时间与委托人签订出让合同，并按合同约定支付成交价款。</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本中心受托提供代收代退竞买保证金服务，未竞得人缴纳的竞买保证金（以人民币缴纳的竞买保证金）将于电子挂牌交易活动结束之日起</w:t>
      </w:r>
      <w:r>
        <w:rPr>
          <w:rFonts w:ascii="仿宋" w:hAnsi="仿宋" w:eastAsia="仿宋" w:cs="仿宋"/>
          <w:color w:val="auto"/>
          <w:sz w:val="32"/>
          <w:szCs w:val="32"/>
        </w:rPr>
        <w:t>5</w:t>
      </w:r>
      <w:r>
        <w:rPr>
          <w:rFonts w:hint="eastAsia" w:ascii="仿宋" w:hAnsi="仿宋" w:eastAsia="仿宋" w:cs="仿宋"/>
          <w:color w:val="auto"/>
          <w:sz w:val="32"/>
          <w:szCs w:val="32"/>
        </w:rPr>
        <w:t>个工作日内原路退还保证金，不计利息。</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竞得人交纳的竞买保证金转付成交价款，办理转付成交价款手续应带齐如下相关资料：</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1.关于将竞买保证金转为土地成交价款的申请；</w:t>
      </w:r>
    </w:p>
    <w:p>
      <w:pPr>
        <w:pStyle w:val="5"/>
        <w:ind w:firstLine="640"/>
        <w:rPr>
          <w:rFonts w:ascii="仿宋" w:hAnsi="仿宋" w:eastAsia="仿宋" w:cs="仿宋"/>
          <w:color w:val="auto"/>
          <w:sz w:val="32"/>
          <w:szCs w:val="32"/>
        </w:rPr>
      </w:pPr>
      <w:r>
        <w:rPr>
          <w:rFonts w:hint="eastAsia" w:ascii="仿宋" w:hAnsi="仿宋" w:eastAsia="仿宋" w:cs="仿宋"/>
          <w:color w:val="auto"/>
          <w:sz w:val="32"/>
          <w:szCs w:val="32"/>
        </w:rPr>
        <w:t>2.惠州市非税收入缴款通知；</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3.银行端查询缴税凭证；</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4.竞价结果通知书；</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5.保证金到账通知书；</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6.保证金转账凭证。</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（六）为避免网络延迟问题，竞买人首次报价应在网上挂牌截止前</w:t>
      </w:r>
      <w:r>
        <w:rPr>
          <w:rFonts w:ascii="仿宋" w:hAnsi="仿宋" w:eastAsia="仿宋" w:cs="仿宋"/>
          <w:color w:val="auto"/>
          <w:sz w:val="32"/>
          <w:szCs w:val="32"/>
        </w:rPr>
        <w:t>10</w:t>
      </w:r>
      <w:r>
        <w:rPr>
          <w:rFonts w:hint="eastAsia" w:ascii="仿宋" w:hAnsi="仿宋" w:eastAsia="仿宋" w:cs="仿宋"/>
          <w:color w:val="auto"/>
          <w:sz w:val="32"/>
          <w:szCs w:val="32"/>
        </w:rPr>
        <w:t>分钟提交，以防止电子交易系统无法及时接收到报价的情况发生。</w:t>
      </w:r>
      <w:r>
        <w:rPr>
          <w:rFonts w:ascii="仿宋" w:hAnsi="仿宋" w:eastAsia="仿宋" w:cs="仿宋"/>
          <w:color w:val="auto"/>
          <w:sz w:val="32"/>
          <w:szCs w:val="32"/>
        </w:rPr>
        <w:t>5</w:t>
      </w:r>
      <w:r>
        <w:rPr>
          <w:rFonts w:hint="eastAsia" w:ascii="仿宋" w:hAnsi="仿宋" w:eastAsia="仿宋" w:cs="仿宋"/>
          <w:color w:val="auto"/>
          <w:sz w:val="32"/>
          <w:szCs w:val="32"/>
        </w:rPr>
        <w:t>分钟倒计时竞价期间，请不要在最后时点报价，以防网络延时造成报价提交不成功。</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七）交易期间的电子交易系统服务器实行封闭管理。发生下列情形之一的，本中心需暂停、中止或终止交易活动，并及时将相关情况报政府有关行政主管部门处理，在公共资源交易平台网上予以公告。委托人待问题排查、清除后，依法重新组织交易活动。</w:t>
      </w:r>
    </w:p>
    <w:p>
      <w:pPr>
        <w:ind w:firstLine="640"/>
        <w:rPr>
          <w:rFonts w:ascii="仿宋" w:hAnsi="仿宋" w:eastAsia="仿宋" w:cs="仿宋"/>
          <w:color w:val="auto"/>
          <w:sz w:val="32"/>
          <w:szCs w:val="32"/>
        </w:rPr>
      </w:pPr>
      <w:r>
        <w:rPr>
          <w:rFonts w:ascii="仿宋" w:hAnsi="仿宋" w:eastAsia="仿宋" w:cs="仿宋"/>
          <w:color w:val="auto"/>
          <w:sz w:val="32"/>
          <w:szCs w:val="32"/>
        </w:rPr>
        <w:t>1</w:t>
      </w:r>
      <w:r>
        <w:rPr>
          <w:rFonts w:hint="eastAsia" w:ascii="仿宋" w:hAnsi="仿宋" w:eastAsia="仿宋" w:cs="仿宋"/>
          <w:color w:val="auto"/>
          <w:sz w:val="32"/>
          <w:szCs w:val="32"/>
        </w:rPr>
        <w:t>、电子交易系统受到黑客、病毒恶意攻击的；</w:t>
      </w:r>
    </w:p>
    <w:p>
      <w:pPr>
        <w:ind w:firstLine="640"/>
        <w:rPr>
          <w:rFonts w:ascii="仿宋" w:hAnsi="仿宋" w:eastAsia="仿宋" w:cs="仿宋"/>
          <w:color w:val="auto"/>
          <w:sz w:val="32"/>
          <w:szCs w:val="32"/>
        </w:rPr>
      </w:pPr>
      <w:r>
        <w:rPr>
          <w:rFonts w:ascii="仿宋" w:hAnsi="仿宋" w:eastAsia="仿宋" w:cs="仿宋"/>
          <w:color w:val="auto"/>
          <w:sz w:val="32"/>
          <w:szCs w:val="32"/>
        </w:rPr>
        <w:t>2</w:t>
      </w:r>
      <w:r>
        <w:rPr>
          <w:rFonts w:hint="eastAsia" w:ascii="仿宋" w:hAnsi="仿宋" w:eastAsia="仿宋" w:cs="仿宋"/>
          <w:color w:val="auto"/>
          <w:sz w:val="32"/>
          <w:szCs w:val="32"/>
        </w:rPr>
        <w:t>、公共资源交易平台因停电、电子交易系统故障、网络故障、交易软件或数据库错误等因素影响到交易活动不能正常进行的；</w:t>
      </w:r>
    </w:p>
    <w:p>
      <w:pPr>
        <w:ind w:firstLine="640"/>
        <w:rPr>
          <w:rFonts w:ascii="仿宋" w:hAnsi="仿宋" w:eastAsia="仿宋" w:cs="仿宋"/>
          <w:color w:val="auto"/>
          <w:sz w:val="32"/>
          <w:szCs w:val="32"/>
        </w:rPr>
      </w:pPr>
      <w:r>
        <w:rPr>
          <w:rFonts w:ascii="仿宋" w:hAnsi="仿宋" w:eastAsia="仿宋" w:cs="仿宋"/>
          <w:color w:val="auto"/>
          <w:sz w:val="32"/>
          <w:szCs w:val="32"/>
        </w:rPr>
        <w:t>3</w:t>
      </w:r>
      <w:r>
        <w:rPr>
          <w:rFonts w:hint="eastAsia" w:ascii="仿宋" w:hAnsi="仿宋" w:eastAsia="仿宋" w:cs="仿宋"/>
          <w:color w:val="auto"/>
          <w:sz w:val="32"/>
          <w:szCs w:val="32"/>
        </w:rPr>
        <w:t>、电子交易系统发现有安全漏洞，有潜在泄密危险，无法保证电子交易信息安全和公平公正交易的；</w:t>
      </w:r>
    </w:p>
    <w:p>
      <w:pPr>
        <w:ind w:firstLine="640"/>
        <w:rPr>
          <w:rFonts w:ascii="仿宋" w:hAnsi="仿宋" w:eastAsia="仿宋" w:cs="仿宋"/>
          <w:color w:val="auto"/>
          <w:sz w:val="32"/>
          <w:szCs w:val="32"/>
        </w:rPr>
      </w:pPr>
      <w:r>
        <w:rPr>
          <w:rFonts w:ascii="仿宋" w:hAnsi="仿宋" w:eastAsia="仿宋" w:cs="仿宋"/>
          <w:color w:val="auto"/>
          <w:sz w:val="32"/>
          <w:szCs w:val="32"/>
        </w:rPr>
        <w:t>4</w:t>
      </w:r>
      <w:r>
        <w:rPr>
          <w:rFonts w:hint="eastAsia" w:ascii="仿宋" w:hAnsi="仿宋" w:eastAsia="仿宋" w:cs="仿宋"/>
          <w:color w:val="auto"/>
          <w:sz w:val="32"/>
          <w:szCs w:val="32"/>
        </w:rPr>
        <w:t>、政府有关行政主管部门及司法机关依法要求暂停、中止或终止交易的；</w:t>
      </w:r>
    </w:p>
    <w:p>
      <w:pPr>
        <w:ind w:firstLine="640"/>
        <w:rPr>
          <w:rFonts w:ascii="仿宋" w:hAnsi="仿宋" w:eastAsia="仿宋" w:cs="仿宋"/>
          <w:color w:val="auto"/>
          <w:sz w:val="32"/>
          <w:szCs w:val="32"/>
        </w:rPr>
      </w:pPr>
      <w:r>
        <w:rPr>
          <w:rFonts w:ascii="仿宋" w:hAnsi="仿宋" w:eastAsia="仿宋" w:cs="仿宋"/>
          <w:color w:val="auto"/>
          <w:sz w:val="32"/>
          <w:szCs w:val="32"/>
        </w:rPr>
        <w:t>5</w:t>
      </w:r>
      <w:r>
        <w:rPr>
          <w:rFonts w:hint="eastAsia" w:ascii="仿宋" w:hAnsi="仿宋" w:eastAsia="仿宋" w:cs="仿宋"/>
          <w:color w:val="auto"/>
          <w:sz w:val="32"/>
          <w:szCs w:val="32"/>
        </w:rPr>
        <w:t>、委托人书面通知交易中心要求暂停、中止或终止交易的；</w:t>
      </w:r>
    </w:p>
    <w:p>
      <w:pPr>
        <w:ind w:firstLine="640"/>
        <w:rPr>
          <w:rFonts w:ascii="仿宋" w:hAnsi="仿宋" w:eastAsia="仿宋" w:cs="仿宋"/>
          <w:color w:val="auto"/>
          <w:sz w:val="32"/>
          <w:szCs w:val="32"/>
        </w:rPr>
      </w:pPr>
      <w:r>
        <w:rPr>
          <w:rFonts w:ascii="仿宋" w:hAnsi="仿宋" w:eastAsia="仿宋" w:cs="仿宋"/>
          <w:color w:val="auto"/>
          <w:sz w:val="32"/>
          <w:szCs w:val="32"/>
        </w:rPr>
        <w:t>6</w:t>
      </w:r>
      <w:r>
        <w:rPr>
          <w:rFonts w:hint="eastAsia" w:ascii="仿宋" w:hAnsi="仿宋" w:eastAsia="仿宋" w:cs="仿宋"/>
          <w:color w:val="auto"/>
          <w:sz w:val="32"/>
          <w:szCs w:val="32"/>
        </w:rPr>
        <w:t>、依法应当暂停、中止或终止交易的其他情形。</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（八）网上挂牌成交价即为该宗地的出让总地价款，竞得人除支付成交价款外，还需支付契税、印花税等有关费用。</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（九）竞得人与委托人签订出让合同后，应当按出让合同约定支付网上挂牌成交价款。竞得人付清全部成交价款后，依法申请办理土地登记，领取《不动产权证书》。</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（十）网上挂牌不成交的，由委托人重新组织挂牌出让。</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（十一）挂牌出让公告、竞买须知及相关交易文件需要修改、补充时，将通过原挂牌出让公告发布渠道公告，不作另行通知。</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申请人应当及时关注该宗地的网上挂牌交易信息。本中心发出的修改、补充公告，与挂牌出让公告、竞买须知及相关交易文件具有同等效力。若与挂牌出让公告、竞买须知及相关交易文件有矛盾时，以日期在后者为准。</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（十二）竞买须知及挂牌出让公告涉及的时间期限，以电子交易系统服务器的时间为准。</w:t>
      </w:r>
    </w:p>
    <w:p>
      <w:pPr>
        <w:ind w:firstLine="640"/>
        <w:rPr>
          <w:rFonts w:ascii="仿宋" w:hAnsi="仿宋" w:eastAsia="仿宋" w:cs="仿宋"/>
          <w:color w:val="auto"/>
          <w:sz w:val="32"/>
          <w:szCs w:val="32"/>
        </w:rPr>
      </w:pPr>
      <w:r>
        <w:rPr>
          <w:rFonts w:hint="eastAsia" w:ascii="仿宋" w:hAnsi="仿宋" w:eastAsia="仿宋" w:cs="仿宋"/>
          <w:color w:val="auto"/>
          <w:sz w:val="32"/>
          <w:szCs w:val="32"/>
        </w:rPr>
        <w:t>（十三）本中心对本竞买须知有解释权。未尽事宜依照《招标拍卖挂牌出让国有土地使用权规范》办理。</w:t>
      </w:r>
    </w:p>
    <w:p>
      <w:pPr>
        <w:pStyle w:val="9"/>
        <w:widowControl/>
        <w:jc w:val="center"/>
        <w:rPr>
          <w:color w:val="auto"/>
        </w:rPr>
      </w:pPr>
      <w:r>
        <w:rPr>
          <w:rFonts w:hint="eastAsia" w:ascii="宋体" w:hAnsi="宋体" w:eastAsia="宋体" w:cs="宋体"/>
          <w:color w:val="auto"/>
          <w:sz w:val="31"/>
          <w:szCs w:val="31"/>
        </w:rPr>
        <w:t>                         </w:t>
      </w:r>
    </w:p>
    <w:p>
      <w:pPr>
        <w:pStyle w:val="9"/>
        <w:widowControl/>
        <w:jc w:val="center"/>
        <w:rPr>
          <w:rFonts w:ascii="仿宋" w:hAnsi="仿宋" w:eastAsia="仿宋" w:cs="仿宋"/>
          <w:color w:val="auto"/>
        </w:rPr>
      </w:pPr>
      <w:r>
        <w:rPr>
          <w:rFonts w:hint="eastAsia" w:ascii="宋体" w:hAnsi="宋体" w:eastAsia="宋体" w:cs="宋体"/>
          <w:color w:val="auto"/>
          <w:sz w:val="31"/>
          <w:szCs w:val="31"/>
        </w:rPr>
        <w:t xml:space="preserve">      </w:t>
      </w:r>
      <w:r>
        <w:rPr>
          <w:rFonts w:hint="eastAsia" w:ascii="仿宋" w:hAnsi="仿宋" w:eastAsia="仿宋" w:cs="仿宋"/>
          <w:color w:val="auto"/>
          <w:sz w:val="31"/>
          <w:szCs w:val="31"/>
        </w:rPr>
        <w:t>    惠州市公共资源交易中心大亚湾分中心</w:t>
      </w:r>
    </w:p>
    <w:p>
      <w:pPr>
        <w:pStyle w:val="9"/>
        <w:widowControl/>
        <w:jc w:val="center"/>
        <w:rPr>
          <w:rFonts w:ascii="仿宋" w:hAnsi="仿宋" w:eastAsia="仿宋" w:cs="仿宋"/>
          <w:color w:val="auto"/>
          <w:sz w:val="31"/>
          <w:szCs w:val="31"/>
          <w:highlight w:val="none"/>
        </w:rPr>
      </w:pPr>
      <w:r>
        <w:rPr>
          <w:rFonts w:hint="eastAsia" w:ascii="仿宋" w:hAnsi="仿宋" w:eastAsia="仿宋" w:cs="仿宋"/>
          <w:color w:val="auto"/>
          <w:sz w:val="31"/>
          <w:szCs w:val="31"/>
          <w:highlight w:val="none"/>
        </w:rPr>
        <w:t xml:space="preserve">              202</w:t>
      </w:r>
      <w:r>
        <w:rPr>
          <w:rFonts w:hint="eastAsia" w:ascii="仿宋" w:hAnsi="仿宋" w:eastAsia="仿宋" w:cs="仿宋"/>
          <w:color w:val="auto"/>
          <w:sz w:val="31"/>
          <w:szCs w:val="31"/>
          <w:highlight w:val="none"/>
          <w:lang w:val="en-US" w:eastAsia="zh-CN"/>
        </w:rPr>
        <w:t>5</w:t>
      </w:r>
      <w:r>
        <w:rPr>
          <w:rFonts w:hint="eastAsia" w:ascii="仿宋" w:hAnsi="仿宋" w:eastAsia="仿宋" w:cs="仿宋"/>
          <w:color w:val="auto"/>
          <w:sz w:val="31"/>
          <w:szCs w:val="31"/>
          <w:highlight w:val="none"/>
        </w:rPr>
        <w:t>年</w:t>
      </w:r>
      <w:r>
        <w:rPr>
          <w:rFonts w:hint="eastAsia" w:ascii="仿宋" w:hAnsi="仿宋" w:eastAsia="仿宋" w:cs="仿宋"/>
          <w:color w:val="auto"/>
          <w:sz w:val="31"/>
          <w:szCs w:val="31"/>
          <w:highlight w:val="none"/>
          <w:lang w:val="en-US" w:eastAsia="zh-CN"/>
        </w:rPr>
        <w:t>4</w:t>
      </w:r>
      <w:r>
        <w:rPr>
          <w:rFonts w:hint="eastAsia" w:ascii="仿宋" w:hAnsi="仿宋" w:eastAsia="仿宋" w:cs="仿宋"/>
          <w:color w:val="auto"/>
          <w:sz w:val="31"/>
          <w:szCs w:val="31"/>
          <w:highlight w:val="none"/>
        </w:rPr>
        <w:t>月</w:t>
      </w:r>
      <w:r>
        <w:rPr>
          <w:rFonts w:hint="eastAsia" w:ascii="仿宋" w:hAnsi="仿宋" w:eastAsia="仿宋" w:cs="仿宋"/>
          <w:color w:val="auto"/>
          <w:sz w:val="31"/>
          <w:szCs w:val="31"/>
          <w:highlight w:val="none"/>
          <w:lang w:val="en-US" w:eastAsia="zh-CN"/>
        </w:rPr>
        <w:t>10</w:t>
      </w:r>
      <w:r>
        <w:rPr>
          <w:rFonts w:hint="eastAsia" w:ascii="仿宋" w:hAnsi="仿宋" w:eastAsia="仿宋" w:cs="仿宋"/>
          <w:color w:val="auto"/>
          <w:sz w:val="31"/>
          <w:szCs w:val="31"/>
          <w:highlight w:val="none"/>
        </w:rPr>
        <w:t>日</w:t>
      </w:r>
    </w:p>
    <w:p>
      <w:pPr>
        <w:rPr>
          <w:rFonts w:ascii="仿宋" w:hAnsi="仿宋" w:eastAsia="仿宋" w:cs="仿宋"/>
          <w:color w:val="auto"/>
        </w:rPr>
      </w:pPr>
    </w:p>
    <w:p>
      <w:pPr>
        <w:rPr>
          <w:color w:val="auto"/>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nsolas">
    <w:panose1 w:val="020B0609020204030204"/>
    <w:charset w:val="00"/>
    <w:family w:val="modern"/>
    <w:pitch w:val="default"/>
    <w:sig w:usb0="E00006FF" w:usb1="0000FCFF" w:usb2="00000001" w:usb3="00000000" w:csb0="6000019F" w:csb1="DFD70000"/>
  </w:font>
  <w:font w:name="方正小标宋简体">
    <w:altName w:val="黑体"/>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180668"/>
    <w:rsid w:val="00180668"/>
    <w:rsid w:val="00540CF0"/>
    <w:rsid w:val="007044C2"/>
    <w:rsid w:val="0073135B"/>
    <w:rsid w:val="00AE47B0"/>
    <w:rsid w:val="00F74F14"/>
    <w:rsid w:val="01D77E8F"/>
    <w:rsid w:val="020C75D7"/>
    <w:rsid w:val="02244C5B"/>
    <w:rsid w:val="026E02DF"/>
    <w:rsid w:val="02BD028F"/>
    <w:rsid w:val="03866911"/>
    <w:rsid w:val="05D157F8"/>
    <w:rsid w:val="06A94F3B"/>
    <w:rsid w:val="06CD1D51"/>
    <w:rsid w:val="09794FD0"/>
    <w:rsid w:val="0AB1368A"/>
    <w:rsid w:val="0C9E4D0C"/>
    <w:rsid w:val="0CC25F44"/>
    <w:rsid w:val="111F76FD"/>
    <w:rsid w:val="12946D3F"/>
    <w:rsid w:val="176F1BE3"/>
    <w:rsid w:val="195F4D12"/>
    <w:rsid w:val="1C351F2A"/>
    <w:rsid w:val="1DCA772D"/>
    <w:rsid w:val="1FD640CC"/>
    <w:rsid w:val="21914B24"/>
    <w:rsid w:val="241125A2"/>
    <w:rsid w:val="253A3592"/>
    <w:rsid w:val="2883697A"/>
    <w:rsid w:val="2B011625"/>
    <w:rsid w:val="2E400F3C"/>
    <w:rsid w:val="31AF1283"/>
    <w:rsid w:val="32E546BE"/>
    <w:rsid w:val="36392CDC"/>
    <w:rsid w:val="38BF1721"/>
    <w:rsid w:val="39EE517D"/>
    <w:rsid w:val="3A2A03AB"/>
    <w:rsid w:val="3B455571"/>
    <w:rsid w:val="3B755831"/>
    <w:rsid w:val="3C1317DC"/>
    <w:rsid w:val="3D0C3779"/>
    <w:rsid w:val="3DC9736D"/>
    <w:rsid w:val="3E631CDD"/>
    <w:rsid w:val="3E9E389B"/>
    <w:rsid w:val="40092DFB"/>
    <w:rsid w:val="4057578F"/>
    <w:rsid w:val="42510620"/>
    <w:rsid w:val="44311B6B"/>
    <w:rsid w:val="44627E62"/>
    <w:rsid w:val="45053C80"/>
    <w:rsid w:val="47145848"/>
    <w:rsid w:val="487B6036"/>
    <w:rsid w:val="48D60A0C"/>
    <w:rsid w:val="4AC152C1"/>
    <w:rsid w:val="4FF46A94"/>
    <w:rsid w:val="54E92E78"/>
    <w:rsid w:val="55696E86"/>
    <w:rsid w:val="5641303F"/>
    <w:rsid w:val="57B65F84"/>
    <w:rsid w:val="5B144AB0"/>
    <w:rsid w:val="5F80350C"/>
    <w:rsid w:val="64760CF8"/>
    <w:rsid w:val="65142905"/>
    <w:rsid w:val="69242B83"/>
    <w:rsid w:val="6A3A4A8E"/>
    <w:rsid w:val="6B233666"/>
    <w:rsid w:val="6BAB560A"/>
    <w:rsid w:val="6FBF5299"/>
    <w:rsid w:val="70566167"/>
    <w:rsid w:val="780B4916"/>
    <w:rsid w:val="7DF82DDF"/>
    <w:rsid w:val="7FB270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rPr>
  </w:style>
  <w:style w:type="paragraph" w:styleId="2">
    <w:name w:val="heading 1"/>
    <w:basedOn w:val="1"/>
    <w:next w:val="1"/>
    <w:uiPriority w:val="0"/>
    <w:pPr>
      <w:spacing w:before="480"/>
    </w:pPr>
    <w:rPr>
      <w:b/>
      <w:color w:val="345A8A"/>
      <w:sz w:val="32"/>
    </w:rPr>
  </w:style>
  <w:style w:type="paragraph" w:styleId="3">
    <w:name w:val="heading 2"/>
    <w:basedOn w:val="1"/>
    <w:next w:val="1"/>
    <w:qFormat/>
    <w:uiPriority w:val="0"/>
    <w:pPr>
      <w:spacing w:before="200"/>
    </w:pPr>
    <w:rPr>
      <w:b/>
      <w:color w:val="4F81BD"/>
      <w:sz w:val="26"/>
    </w:rPr>
  </w:style>
  <w:style w:type="paragraph" w:styleId="4">
    <w:name w:val="heading 3"/>
    <w:basedOn w:val="1"/>
    <w:next w:val="1"/>
    <w:qFormat/>
    <w:uiPriority w:val="0"/>
    <w:pPr>
      <w:spacing w:before="200"/>
    </w:pPr>
    <w:rPr>
      <w:b/>
      <w:color w:val="4F81BD"/>
      <w:sz w:val="24"/>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0"/>
    <w:pPr>
      <w:ind w:firstLine="420"/>
    </w:pPr>
  </w:style>
  <w:style w:type="paragraph" w:styleId="6">
    <w:name w:val="footer"/>
    <w:basedOn w:val="1"/>
    <w:link w:val="25"/>
    <w:qFormat/>
    <w:uiPriority w:val="0"/>
    <w:pPr>
      <w:tabs>
        <w:tab w:val="center" w:pos="4153"/>
        <w:tab w:val="right" w:pos="8306"/>
      </w:tabs>
      <w:snapToGrid w:val="0"/>
      <w:jc w:val="left"/>
    </w:pPr>
    <w:rPr>
      <w:sz w:val="18"/>
      <w:szCs w:val="18"/>
    </w:rPr>
  </w:style>
  <w:style w:type="paragraph" w:styleId="7">
    <w:name w:val="header"/>
    <w:basedOn w:val="1"/>
    <w:link w:val="24"/>
    <w:qFormat/>
    <w:uiPriority w:val="0"/>
    <w:pPr>
      <w:pBdr>
        <w:bottom w:val="single" w:color="auto" w:sz="6" w:space="1"/>
      </w:pBdr>
      <w:tabs>
        <w:tab w:val="center" w:pos="4153"/>
        <w:tab w:val="right" w:pos="8306"/>
      </w:tabs>
      <w:snapToGrid w:val="0"/>
      <w:jc w:val="center"/>
    </w:pPr>
    <w:rPr>
      <w:sz w:val="18"/>
      <w:szCs w:val="18"/>
    </w:rPr>
  </w:style>
  <w:style w:type="paragraph" w:styleId="8">
    <w:name w:val="Subtitle"/>
    <w:basedOn w:val="1"/>
    <w:qFormat/>
    <w:uiPriority w:val="0"/>
    <w:rPr>
      <w:i/>
      <w:color w:val="4F81BD"/>
      <w:sz w:val="24"/>
    </w:rPr>
  </w:style>
  <w:style w:type="paragraph" w:styleId="9">
    <w:name w:val="Normal (Web)"/>
    <w:basedOn w:val="1"/>
    <w:qFormat/>
    <w:uiPriority w:val="0"/>
    <w:pPr>
      <w:jc w:val="left"/>
    </w:pPr>
    <w:rPr>
      <w:rFonts w:cs="Times New Roman"/>
      <w:kern w:val="0"/>
      <w:sz w:val="24"/>
    </w:rPr>
  </w:style>
  <w:style w:type="paragraph" w:styleId="10">
    <w:name w:val="Title"/>
    <w:basedOn w:val="1"/>
    <w:qFormat/>
    <w:uiPriority w:val="0"/>
    <w:pPr>
      <w:spacing w:after="300"/>
    </w:pPr>
    <w:rPr>
      <w:color w:val="17365D"/>
      <w:sz w:val="52"/>
    </w:rPr>
  </w:style>
  <w:style w:type="character" w:styleId="13">
    <w:name w:val="Strong"/>
    <w:basedOn w:val="12"/>
    <w:qFormat/>
    <w:uiPriority w:val="0"/>
    <w:rPr>
      <w:b/>
      <w:bCs/>
    </w:rPr>
  </w:style>
  <w:style w:type="character" w:styleId="14">
    <w:name w:val="FollowedHyperlink"/>
    <w:basedOn w:val="12"/>
    <w:qFormat/>
    <w:uiPriority w:val="0"/>
    <w:rPr>
      <w:color w:val="337AB7"/>
      <w:u w:val="none"/>
    </w:rPr>
  </w:style>
  <w:style w:type="character" w:styleId="15">
    <w:name w:val="HTML Definition"/>
    <w:basedOn w:val="12"/>
    <w:qFormat/>
    <w:uiPriority w:val="0"/>
    <w:rPr>
      <w:i/>
      <w:iCs/>
    </w:rPr>
  </w:style>
  <w:style w:type="character" w:styleId="16">
    <w:name w:val="Hyperlink"/>
    <w:basedOn w:val="12"/>
    <w:qFormat/>
    <w:uiPriority w:val="0"/>
    <w:rPr>
      <w:color w:val="337AB7"/>
      <w:u w:val="none"/>
    </w:rPr>
  </w:style>
  <w:style w:type="character" w:styleId="17">
    <w:name w:val="HTML Code"/>
    <w:basedOn w:val="12"/>
    <w:qFormat/>
    <w:uiPriority w:val="0"/>
    <w:rPr>
      <w:rFonts w:hint="default" w:ascii="Consolas" w:hAnsi="Consolas" w:eastAsia="Consolas" w:cs="Consolas"/>
      <w:color w:val="C7254E"/>
      <w:sz w:val="21"/>
      <w:szCs w:val="21"/>
      <w:shd w:val="clear" w:color="auto" w:fill="F9F2F4"/>
    </w:rPr>
  </w:style>
  <w:style w:type="character" w:styleId="18">
    <w:name w:val="HTML Keyboard"/>
    <w:basedOn w:val="12"/>
    <w:qFormat/>
    <w:uiPriority w:val="0"/>
    <w:rPr>
      <w:rFonts w:ascii="Consolas" w:hAnsi="Consolas" w:eastAsia="Consolas" w:cs="Consolas"/>
      <w:color w:val="FFFFFF"/>
      <w:sz w:val="21"/>
      <w:szCs w:val="21"/>
      <w:shd w:val="clear" w:color="auto" w:fill="333333"/>
    </w:rPr>
  </w:style>
  <w:style w:type="character" w:styleId="19">
    <w:name w:val="HTML Sample"/>
    <w:basedOn w:val="12"/>
    <w:qFormat/>
    <w:uiPriority w:val="0"/>
    <w:rPr>
      <w:rFonts w:hint="default" w:ascii="Consolas" w:hAnsi="Consolas" w:eastAsia="Consolas" w:cs="Consolas"/>
      <w:sz w:val="21"/>
      <w:szCs w:val="21"/>
    </w:rPr>
  </w:style>
  <w:style w:type="character" w:customStyle="1" w:styleId="20">
    <w:name w:val="layui-layer-tabnow"/>
    <w:basedOn w:val="12"/>
    <w:qFormat/>
    <w:uiPriority w:val="0"/>
    <w:rPr>
      <w:bdr w:val="single" w:color="CCCCCC" w:sz="6" w:space="0"/>
      <w:shd w:val="clear" w:color="auto" w:fill="FFFFFF"/>
    </w:rPr>
  </w:style>
  <w:style w:type="character" w:customStyle="1" w:styleId="21">
    <w:name w:val="first-child"/>
    <w:basedOn w:val="12"/>
    <w:qFormat/>
    <w:uiPriority w:val="0"/>
  </w:style>
  <w:style w:type="character" w:customStyle="1" w:styleId="22">
    <w:name w:val="actspan"/>
    <w:basedOn w:val="12"/>
    <w:qFormat/>
    <w:uiPriority w:val="0"/>
  </w:style>
  <w:style w:type="character" w:customStyle="1" w:styleId="23">
    <w:name w:val="actspan2"/>
    <w:basedOn w:val="12"/>
    <w:qFormat/>
    <w:uiPriority w:val="0"/>
  </w:style>
  <w:style w:type="character" w:customStyle="1" w:styleId="24">
    <w:name w:val="页眉 Char"/>
    <w:basedOn w:val="12"/>
    <w:link w:val="7"/>
    <w:qFormat/>
    <w:uiPriority w:val="0"/>
    <w:rPr>
      <w:rFonts w:ascii="Calibri" w:hAnsiTheme="minorHAnsi" w:eastAsiaTheme="minorEastAsia" w:cstheme="minorBidi"/>
      <w:kern w:val="2"/>
      <w:sz w:val="18"/>
      <w:szCs w:val="18"/>
    </w:rPr>
  </w:style>
  <w:style w:type="character" w:customStyle="1" w:styleId="25">
    <w:name w:val="页脚 Char"/>
    <w:basedOn w:val="12"/>
    <w:link w:val="6"/>
    <w:qFormat/>
    <w:uiPriority w:val="0"/>
    <w:rPr>
      <w:rFonts w:ascii="Calibr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697</Words>
  <Characters>3973</Characters>
  <Lines>33</Lines>
  <Paragraphs>9</Paragraphs>
  <TotalTime>4</TotalTime>
  <ScaleCrop>false</ScaleCrop>
  <LinksUpToDate>false</LinksUpToDate>
  <CharactersWithSpaces>4661</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2023-06-07T03:55:00Z</dcterms:created>
  <dc:creator>lenovo-16</dc:creator>
  <cp:lastModifiedBy>花卷MM</cp:lastModifiedBy>
  <cp:lastPrinted>2023-06-25T03:07:00Z</cp:lastPrinted>
  <dcterms:modified xsi:type="dcterms:W3CDTF">2025-04-09T06:13:28Z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C836E997093748E3B482359C85357D32</vt:lpwstr>
  </property>
</Properties>
</file>