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惠公易土大亚湾（知）[2023]00</w:t>
      </w:r>
      <w:r>
        <w:rPr>
          <w:rFonts w:hint="eastAsia" w:ascii="宋体" w:hAnsi="宋体" w:eastAsia="宋体" w:cs="宋体"/>
          <w:color w:val="auto"/>
          <w:sz w:val="31"/>
          <w:szCs w:val="31"/>
          <w:lang w:val="en-US" w:eastAsia="zh-CN"/>
        </w:rPr>
        <w:t>8</w:t>
      </w:r>
      <w:r>
        <w:rPr>
          <w:rFonts w:hint="eastAsia" w:ascii="宋体" w:hAnsi="宋体" w:eastAsia="宋体" w:cs="宋体"/>
          <w:color w:val="auto"/>
          <w:sz w:val="31"/>
          <w:szCs w:val="31"/>
        </w:rPr>
        <w:t>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一、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二、本宗国有建设用地使用权网上挂牌出让遵循公开、公平、公正和诚实信用原则。</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三、中华人民共和国境内外的法人和其他经济组织（除法律法规另有规定外），符合竞买资格的，均可通过网上挂牌交易系统，申请参加电子挂牌交易活动。</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挂牌出让公告对竞买资格有特别要求的，以挂牌出让公告为准。</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四、申请人对网上挂牌出让文件有疑问的，可在网上挂牌活动开始前以书面或者口头方式向交易中心咨询。有意竞买者可自行踏勘现场（可在网上挂牌交易系统查阅位置图和现状图）。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五、网上挂牌交易程序</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（一）发布网上挂牌信息</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有关宗地的电子挂牌交易公告等相关信息通过交易中心门户网站、交易大厅的电子显示屏、中国土地市场网、广东省公共资源交易平台和网上挂牌交易系统等媒介同步发布。</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有意竞买者可登录网上挂牌交易系统网站(https://www.hzgtjy.com/)查询。</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（二）挂牌文件获取</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申请人可在网上挂牌交易系统浏览和下载本宗地网上挂牌出让文件，具体包括：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惠州市国有建设用地使用权网上挂牌出让公告（以下简称“出让公告”）；</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惠州市国有建设用地使用权网上挂牌出让竞买须知（以下简称“竞买须知”）；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挂牌出让地块现状图；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红线图；</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《规划设计条件告知书》；</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《国有建设用地使用权网上挂牌成交确认书》（以下简称“成交确认书”）样本；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7</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《国有建设用地使用权出让合同》（以下简称“出让合同”）（样本）；</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8</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其他相关文件。</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（三）办理数字证书</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 xml:space="preserve">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数字证书的办理流程详见网上挂牌交易系统上的《数字证书办理指南》。</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（四）申请竞买</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竞买保证金到账时间以网上挂牌交易系统确认并发出《保证金到账通知书》为准。</w:t>
      </w:r>
    </w:p>
    <w:p>
      <w:pPr>
        <w:pStyle w:val="3"/>
        <w:keepNext w:val="0"/>
        <w:keepLines w:val="0"/>
        <w:widowControl/>
        <w:suppressLineNumbers w:val="0"/>
        <w:ind w:left="0" w:firstLine="645"/>
        <w:rPr>
          <w:rFonts w:hint="default" w:ascii="宋体" w:hAnsi="宋体" w:eastAsia="宋体" w:cs="宋体"/>
          <w:color w:val="auto"/>
          <w:sz w:val="31"/>
          <w:szCs w:val="31"/>
          <w:lang w:val="en-US" w:eastAsia="zh-CN"/>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竞买保证金开户单位：惠州市公共资源交易中心</w:t>
      </w:r>
      <w:r>
        <w:rPr>
          <w:rFonts w:hint="eastAsia" w:ascii="宋体" w:hAnsi="宋体" w:eastAsia="宋体" w:cs="宋体"/>
          <w:color w:val="auto"/>
          <w:sz w:val="31"/>
          <w:szCs w:val="31"/>
          <w:lang w:val="en-US" w:eastAsia="zh-CN"/>
        </w:rPr>
        <w:t>大亚湾分中心</w:t>
      </w:r>
    </w:p>
    <w:p>
      <w:pPr>
        <w:pStyle w:val="3"/>
        <w:keepNext w:val="0"/>
        <w:keepLines w:val="0"/>
        <w:widowControl/>
        <w:suppressLineNumbers w:val="0"/>
        <w:ind w:firstLine="930" w:firstLineChars="300"/>
        <w:rPr>
          <w:color w:val="auto"/>
        </w:rPr>
      </w:pPr>
      <w:r>
        <w:rPr>
          <w:rFonts w:hint="eastAsia" w:ascii="宋体" w:hAnsi="宋体" w:eastAsia="宋体" w:cs="宋体"/>
          <w:color w:val="auto"/>
          <w:sz w:val="31"/>
          <w:szCs w:val="31"/>
        </w:rPr>
        <w:t>竞买保证金账号：网上挂牌交易系统随机产生竞买保证金支付账号。</w:t>
      </w:r>
    </w:p>
    <w:p>
      <w:pPr>
        <w:pStyle w:val="3"/>
        <w:keepNext w:val="0"/>
        <w:keepLines w:val="0"/>
        <w:widowControl/>
        <w:suppressLineNumbers w:val="0"/>
        <w:ind w:left="0" w:firstLine="645"/>
        <w:rPr>
          <w:b/>
          <w:bCs/>
          <w:color w:val="auto"/>
        </w:rPr>
      </w:pPr>
      <w:r>
        <w:rPr>
          <w:rFonts w:hint="eastAsia" w:ascii="宋体" w:hAnsi="宋体" w:eastAsia="宋体" w:cs="宋体"/>
          <w:b/>
          <w:bCs/>
          <w:color w:val="auto"/>
          <w:sz w:val="31"/>
          <w:szCs w:val="31"/>
        </w:rPr>
        <w:t>开户银行：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（1）中国银行惠州大亚湾支行；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（2）中国工商银行惠州大亚湾支行；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（3）中国农业银行惠州大亚湾支行；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（4）惠州农商银行大亚湾支行；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（5）中国建设银行股份有限公司惠州大亚湾支行；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（6）交通银行惠州大亚湾支行；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（7）珠海华润银行股份有限公司惠州大亚湾支行</w:t>
      </w:r>
      <w:r>
        <w:rPr>
          <w:rFonts w:hint="eastAsia" w:ascii="仿宋" w:hAnsi="仿宋" w:eastAsia="仿宋" w:cs="仿宋"/>
          <w:color w:val="auto"/>
          <w:sz w:val="30"/>
          <w:szCs w:val="30"/>
          <w:lang w:eastAsia="zh-CN"/>
        </w:rPr>
        <w:t>；</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 xml:space="preserve">申请人应根据网上挂牌交易系统生成的随机保证金账号按时足额交纳竞买保证金，并在网上挂牌交易系统确认竞买保证金到账之后，赋予竞买人对应宗地的竞买报价权限。 </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（六）竞买人电子报价及电子限时竞价</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（1）增价方式进行报价；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（2）竞买人可多次报价；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（3）初次报价不得低于起始价；</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（4）每次增价数额应是规定的增价幅度的整数倍；</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（5）每次报价应当比当前最高报价至少递增1个增价幅度。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（七）确定成交候选人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在电子挂牌交易期限内只有1个竞买人报价，且报价不低于起始价的，则该报价者为成交候选人；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电子挂牌交易期限内有2个以上的竞买人报价，经网上挂牌交易系统询问，无竞买人愿意参加电子限时竞价的，以当前报价最高且报价不低于起始价者为成交候选人；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（八）成交候选人竞买资格审查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本宗国有建设用地使用权网上挂牌出让实行竞买资格后置审查。</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不符合竞买资格的，取消成交候选人资格，竞价结果无效。</w:t>
      </w:r>
    </w:p>
    <w:p>
      <w:pPr>
        <w:pStyle w:val="3"/>
        <w:keepNext w:val="0"/>
        <w:keepLines w:val="0"/>
        <w:widowControl/>
        <w:suppressLineNumbers w:val="0"/>
        <w:ind w:left="0" w:firstLine="645"/>
        <w:jc w:val="left"/>
        <w:rPr>
          <w:rFonts w:hint="eastAsia" w:ascii="宋体" w:hAnsi="宋体" w:eastAsia="宋体" w:cs="宋体"/>
          <w:color w:val="auto"/>
          <w:sz w:val="31"/>
          <w:szCs w:val="31"/>
        </w:rPr>
      </w:pPr>
      <w:r>
        <w:rPr>
          <w:rFonts w:hint="eastAsia" w:ascii="宋体" w:hAnsi="宋体" w:eastAsia="宋体" w:cs="宋体"/>
          <w:color w:val="auto"/>
          <w:sz w:val="31"/>
          <w:szCs w:val="31"/>
        </w:rPr>
        <w:t>（九）公布交易结果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确定竞得人后，竞得人按挂牌交易公告规定的时间与委托人、本中心签订成交确认书，竞得人根据成交确认书约定的时间与委托人签订交易合同。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六、系统操作</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网上挂牌交易系统竞买人操作视频可在本中心网上挂牌交易系统（https://www.hzgtjy.com/）下载。</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七、注意事项</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三</w:t>
      </w:r>
      <w:r>
        <w:rPr>
          <w:rFonts w:hint="eastAsia" w:ascii="宋体" w:hAnsi="宋体" w:eastAsia="宋体" w:cs="宋体"/>
          <w:color w:val="auto"/>
          <w:sz w:val="31"/>
          <w:szCs w:val="31"/>
        </w:rPr>
        <w:t>）《竞价结果通知书》对委托人和成交候选人具有法律效力，委托人改变网上挂牌结果的，或者成交候选人放弃竞得宗地的，应当承担相应法律责任。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宋体" w:hAnsi="宋体" w:eastAsia="宋体" w:cs="宋体"/>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四）</w:t>
      </w:r>
      <w:r>
        <w:rPr>
          <w:rFonts w:hint="eastAsia" w:ascii="宋体" w:hAnsi="宋体" w:eastAsia="宋体" w:cs="宋体"/>
          <w:color w:val="auto"/>
          <w:sz w:val="31"/>
          <w:szCs w:val="31"/>
        </w:rPr>
        <w:t>本中心受托提供代收代退竞买保证金服务，</w:t>
      </w:r>
      <w:r>
        <w:rPr>
          <w:rFonts w:hint="eastAsia" w:ascii="宋体" w:hAnsi="宋体" w:eastAsia="宋体" w:cs="宋体"/>
          <w:color w:val="auto"/>
          <w:sz w:val="31"/>
          <w:szCs w:val="31"/>
          <w:lang w:val="en-US" w:eastAsia="zh-CN"/>
        </w:rPr>
        <w:t>只接受</w:t>
      </w:r>
      <w:r>
        <w:rPr>
          <w:rFonts w:hint="eastAsia" w:ascii="宋体" w:hAnsi="宋体" w:eastAsia="宋体" w:cs="宋体"/>
          <w:color w:val="auto"/>
          <w:sz w:val="31"/>
          <w:szCs w:val="31"/>
        </w:rPr>
        <w:t>以人民币缴纳的竞买保证金</w:t>
      </w:r>
      <w:r>
        <w:rPr>
          <w:rFonts w:hint="eastAsia" w:ascii="宋体" w:hAnsi="宋体" w:eastAsia="宋体" w:cs="宋体"/>
          <w:color w:val="auto"/>
          <w:sz w:val="31"/>
          <w:szCs w:val="31"/>
          <w:lang w:eastAsia="zh-CN"/>
        </w:rPr>
        <w:t>。</w:t>
      </w:r>
      <w:r>
        <w:rPr>
          <w:rFonts w:hint="eastAsia" w:ascii="宋体" w:hAnsi="宋体" w:eastAsia="宋体" w:cs="宋体"/>
          <w:color w:val="auto"/>
          <w:sz w:val="31"/>
          <w:szCs w:val="31"/>
        </w:rPr>
        <w:t>未竞得人缴纳的竞买保证金将于电子挂牌交易活动结束之日起5个工作日内通过网上退还的形式原路退还保证金，不计利息。</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竞得人交纳的竞买保证金转付成交价款，办理转付成交价款手续应带齐如下相关资料：</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委托方开具的银行端查询缴税凭证；</w:t>
      </w:r>
    </w:p>
    <w:p>
      <w:pPr>
        <w:pStyle w:val="3"/>
        <w:keepNext w:val="0"/>
        <w:keepLines w:val="0"/>
        <w:widowControl/>
        <w:suppressLineNumbers w:val="0"/>
        <w:spacing w:before="0" w:beforeAutospacing="0" w:after="0" w:afterAutospacing="0"/>
        <w:ind w:left="420" w:right="0" w:firstLine="210"/>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委托方开具的惠州市非税收入缴款通知；</w:t>
      </w:r>
    </w:p>
    <w:p>
      <w:pPr>
        <w:pStyle w:val="3"/>
        <w:keepNext w:val="0"/>
        <w:keepLines w:val="0"/>
        <w:widowControl/>
        <w:suppressLineNumbers w:val="0"/>
        <w:spacing w:before="0" w:beforeAutospacing="0" w:after="0" w:afterAutospacing="0"/>
        <w:ind w:left="420" w:right="0" w:firstLine="210"/>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竞价结果通知书；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保证金到账通知书；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保证金转账凭证。</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1</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2</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3</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4</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5</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宋体" w:hAnsi="宋体" w:eastAsia="宋体" w:cs="宋体"/>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（十一）出让公告、竞买须知及相关交易文件需要修改、补充时，将通过原公告发布渠道公告，不作另行通知。</w:t>
      </w:r>
    </w:p>
    <w:p>
      <w:pPr>
        <w:pStyle w:val="3"/>
        <w:keepNext w:val="0"/>
        <w:keepLines w:val="0"/>
        <w:widowControl/>
        <w:suppressLineNumbers w:val="0"/>
        <w:rPr>
          <w:color w:val="auto"/>
        </w:rPr>
      </w:pPr>
      <w:r>
        <w:rPr>
          <w:rFonts w:hint="eastAsia" w:ascii="宋体" w:hAnsi="宋体" w:eastAsia="宋体" w:cs="宋体"/>
          <w:color w:val="auto"/>
          <w:sz w:val="31"/>
          <w:szCs w:val="31"/>
        </w:rPr>
        <w:t>  申请人应当及时关注该宗地的网上挂牌交易信息。本中心发出的修改、补充公告，与出让公告、竞买须知及相关交易文件具有同等效力。若与出让公告、竞买须知及相关交易文件有矛盾时，以日期在后者为准。</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（十二）本竞买须知及出让公告涉及的时间期限，以网上挂牌交易系统服务器的时间为准。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（十三）本中心对本《须知》有解释权。未尽事宜依照《招标拍卖挂牌出让国有土地使用权规范》办理。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default" w:eastAsia="宋体"/>
          <w:color w:val="auto"/>
          <w:lang w:val="en-US" w:eastAsia="zh-CN"/>
        </w:rPr>
      </w:pPr>
      <w:r>
        <w:rPr>
          <w:rFonts w:hint="eastAsia" w:ascii="宋体" w:hAnsi="宋体" w:eastAsia="宋体" w:cs="宋体"/>
          <w:color w:val="auto"/>
          <w:sz w:val="31"/>
          <w:szCs w:val="31"/>
        </w:rPr>
        <w:t>         惠州市公共资源交易中心</w:t>
      </w:r>
      <w:r>
        <w:rPr>
          <w:rFonts w:hint="eastAsia" w:ascii="宋体" w:hAnsi="宋体" w:eastAsia="宋体" w:cs="宋体"/>
          <w:color w:val="auto"/>
          <w:sz w:val="31"/>
          <w:szCs w:val="31"/>
          <w:lang w:val="en-US" w:eastAsia="zh-CN"/>
        </w:rPr>
        <w:t>大亚湾分中心</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2023年</w:t>
      </w:r>
      <w:r>
        <w:rPr>
          <w:rFonts w:hint="eastAsia" w:ascii="宋体" w:hAnsi="宋体" w:eastAsia="宋体" w:cs="宋体"/>
          <w:color w:val="auto"/>
          <w:sz w:val="31"/>
          <w:szCs w:val="31"/>
          <w:lang w:val="en-US" w:eastAsia="zh-CN"/>
        </w:rPr>
        <w:t>11</w:t>
      </w:r>
      <w:r>
        <w:rPr>
          <w:rFonts w:hint="eastAsia" w:ascii="宋体" w:hAnsi="宋体" w:eastAsia="宋体" w:cs="宋体"/>
          <w:color w:val="auto"/>
          <w:sz w:val="31"/>
          <w:szCs w:val="31"/>
        </w:rPr>
        <w:t>月</w:t>
      </w:r>
      <w:r>
        <w:rPr>
          <w:rFonts w:hint="eastAsia" w:ascii="宋体" w:hAnsi="宋体" w:eastAsia="宋体" w:cs="宋体"/>
          <w:color w:val="auto"/>
          <w:sz w:val="31"/>
          <w:szCs w:val="31"/>
          <w:lang w:val="en-US" w:eastAsia="zh-CN"/>
        </w:rPr>
        <w:t>23</w:t>
      </w:r>
      <w:bookmarkStart w:id="0" w:name="_GoBack"/>
      <w:bookmarkEnd w:id="0"/>
      <w:r>
        <w:rPr>
          <w:rFonts w:hint="eastAsia" w:ascii="宋体" w:hAnsi="宋体" w:eastAsia="宋体" w:cs="宋体"/>
          <w:color w:val="auto"/>
          <w:sz w:val="31"/>
          <w:szCs w:val="3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C9E4D0C"/>
    <w:rsid w:val="1C351F2A"/>
    <w:rsid w:val="32E546BE"/>
    <w:rsid w:val="39EE517D"/>
    <w:rsid w:val="3A2A03AB"/>
    <w:rsid w:val="3E9E389B"/>
    <w:rsid w:val="44311B6B"/>
    <w:rsid w:val="487B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2023-11-21T08:26:03Z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