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惠州市国有建设用地使用权</w:t>
      </w:r>
    </w:p>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网上挂牌出让竞买须知</w:t>
      </w:r>
    </w:p>
    <w:p>
      <w:pPr>
        <w:pStyle w:val="3"/>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惠公易土大亚湾（知）[2023]00</w:t>
      </w:r>
      <w:r>
        <w:rPr>
          <w:rFonts w:hint="eastAsia" w:ascii="宋体" w:hAnsi="宋体" w:eastAsia="宋体" w:cs="宋体"/>
          <w:color w:val="auto"/>
          <w:sz w:val="31"/>
          <w:szCs w:val="31"/>
          <w:lang w:val="en-US" w:eastAsia="zh-CN"/>
        </w:rPr>
        <w:t>4</w:t>
      </w:r>
      <w:bookmarkStart w:id="0" w:name="_GoBack"/>
      <w:bookmarkEnd w:id="0"/>
      <w:r>
        <w:rPr>
          <w:rFonts w:hint="eastAsia" w:ascii="宋体" w:hAnsi="宋体" w:eastAsia="宋体" w:cs="宋体"/>
          <w:color w:val="auto"/>
          <w:sz w:val="31"/>
          <w:szCs w:val="31"/>
        </w:rPr>
        <w:t>号</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一、国有建设用地使用权网上挂牌出让，是指在惠州市公共资源交易平台发布挂牌出让公告和须知，竞买人通过惠州市公共资源交易中心（以下简称“交易中心”）土地与矿业网上挂牌交易系统（以下简称“网上挂牌交易系统”）参与电子挂牌交易的行为。本竞买须知是具备法律约束力的重要文件，竞买人须详细阅读。</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二、本宗国有建设用地使用权网上挂牌出让遵循公开、公平、公正和诚实信用原则。</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三、中华人民共和国境内外的法人和其他经济组织（除法律法规另有规定外），符合竞买资格的，均可通过网上挂牌交易系统，申请参加电子挂牌交易活动。</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挂牌出让公告对竞买资格有特别要求的，以挂牌出让公告为准。</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四、申请人对网上挂牌出让文件有疑问的，可在网上挂牌活动开始前以书面或者口头方式向交易中心咨询。有意竞买者可自行踏勘现场（可在网上挂牌交易系统查阅位置图和现状图）。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五、网上挂牌交易程序</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（一）发布网上挂牌信息</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有关宗地的电子挂牌交易公告等相关信息通过交易中心门户网站、交易大厅的电子显示屏、中国土地市场网、广东省公共资源交易平台和网上挂牌交易系统等媒介同步发布。</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有意竞买者可登录网上挂牌交易系统网站(https://www.hzgtjy.com/)查询。</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（二）挂牌文件获取</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申请人可在网上挂牌交易系统浏览和下载本宗地网上挂牌出让文件，具体包括：</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惠州市国有建设用地使用权网上挂牌出让公告（以下简称“出让公告”）；</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惠州市国有建设用地使用权网上挂牌出让竞买须知（以下简称“竞买须知”）；</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挂牌出让地块现状图；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红线图；</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《规划设计条件告知书》；</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《国有建设用地使用权网上挂牌成交确认书》（以下简称“成交确认书”）样本；</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7</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《国有建设用地使用权出让合同》（以下简称“出让合同”）（样本）；</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8</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其他相关文件。</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（三）办理数字证书</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 xml:space="preserve">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数字证书的办理流程详见网上挂牌交易系统上的《数字证书办理指南》。</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（四）申请竞买</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（五）交纳竞买保证金并获得竞买报价权限</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跨地区或跨行转账的竞买人，需预足资金的在途时间，以免影响竞买人及时取得竞买报价权限。</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竞买保证金到账时间以网上挂牌交易系统确认并发出《保证金到账通知书》为准。</w:t>
      </w:r>
    </w:p>
    <w:p>
      <w:pPr>
        <w:pStyle w:val="3"/>
        <w:keepNext w:val="0"/>
        <w:keepLines w:val="0"/>
        <w:widowControl/>
        <w:suppressLineNumbers w:val="0"/>
        <w:ind w:left="0" w:firstLine="645"/>
        <w:rPr>
          <w:rFonts w:hint="default" w:ascii="宋体" w:hAnsi="宋体" w:eastAsia="宋体" w:cs="宋体"/>
          <w:color w:val="auto"/>
          <w:sz w:val="31"/>
          <w:szCs w:val="31"/>
          <w:lang w:val="en-US" w:eastAsia="zh-CN"/>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竞买保证金开户单位：惠州市公共资源交易中心</w:t>
      </w:r>
      <w:r>
        <w:rPr>
          <w:rFonts w:hint="eastAsia" w:ascii="宋体" w:hAnsi="宋体" w:eastAsia="宋体" w:cs="宋体"/>
          <w:color w:val="auto"/>
          <w:sz w:val="31"/>
          <w:szCs w:val="31"/>
          <w:lang w:val="en-US" w:eastAsia="zh-CN"/>
        </w:rPr>
        <w:t>大亚湾分中心</w:t>
      </w:r>
    </w:p>
    <w:p>
      <w:pPr>
        <w:pStyle w:val="3"/>
        <w:keepNext w:val="0"/>
        <w:keepLines w:val="0"/>
        <w:widowControl/>
        <w:suppressLineNumbers w:val="0"/>
        <w:ind w:firstLine="930" w:firstLineChars="300"/>
        <w:rPr>
          <w:color w:val="auto"/>
        </w:rPr>
      </w:pPr>
      <w:r>
        <w:rPr>
          <w:rFonts w:hint="eastAsia" w:ascii="宋体" w:hAnsi="宋体" w:eastAsia="宋体" w:cs="宋体"/>
          <w:color w:val="auto"/>
          <w:sz w:val="31"/>
          <w:szCs w:val="31"/>
        </w:rPr>
        <w:t>竞买保证金账号：网上挂牌交易系统随机产生竞买保证金支付账号。</w:t>
      </w:r>
    </w:p>
    <w:p>
      <w:pPr>
        <w:pStyle w:val="3"/>
        <w:keepNext w:val="0"/>
        <w:keepLines w:val="0"/>
        <w:widowControl/>
        <w:suppressLineNumbers w:val="0"/>
        <w:ind w:left="0" w:firstLine="645"/>
        <w:rPr>
          <w:b/>
          <w:bCs/>
          <w:color w:val="auto"/>
        </w:rPr>
      </w:pPr>
      <w:r>
        <w:rPr>
          <w:rFonts w:hint="eastAsia" w:ascii="宋体" w:hAnsi="宋体" w:eastAsia="宋体" w:cs="宋体"/>
          <w:b/>
          <w:bCs/>
          <w:color w:val="auto"/>
          <w:sz w:val="31"/>
          <w:szCs w:val="31"/>
        </w:rPr>
        <w:t>开户银行：</w:t>
      </w:r>
    </w:p>
    <w:p>
      <w:pPr>
        <w:pStyle w:val="3"/>
        <w:keepNext w:val="0"/>
        <w:keepLines w:val="0"/>
        <w:widowControl/>
        <w:suppressLineNumbers w:val="0"/>
        <w:ind w:firstLine="930" w:firstLineChars="300"/>
        <w:jc w:val="left"/>
        <w:rPr>
          <w:rFonts w:hint="eastAsia" w:ascii="宋体" w:hAnsi="宋体" w:eastAsia="宋体" w:cs="宋体"/>
          <w:color w:val="auto"/>
          <w:sz w:val="31"/>
          <w:szCs w:val="31"/>
        </w:rPr>
      </w:pPr>
      <w:r>
        <w:rPr>
          <w:rFonts w:hint="eastAsia" w:ascii="宋体" w:hAnsi="宋体" w:eastAsia="宋体" w:cs="宋体"/>
          <w:color w:val="auto"/>
          <w:sz w:val="31"/>
          <w:szCs w:val="31"/>
        </w:rPr>
        <w:t>（1）中国银行惠州大亚湾支行；</w:t>
      </w:r>
    </w:p>
    <w:p>
      <w:pPr>
        <w:pStyle w:val="3"/>
        <w:keepNext w:val="0"/>
        <w:keepLines w:val="0"/>
        <w:widowControl/>
        <w:suppressLineNumbers w:val="0"/>
        <w:ind w:firstLine="930" w:firstLineChars="300"/>
        <w:jc w:val="left"/>
        <w:rPr>
          <w:rFonts w:hint="eastAsia" w:ascii="宋体" w:hAnsi="宋体" w:eastAsia="宋体" w:cs="宋体"/>
          <w:color w:val="auto"/>
          <w:sz w:val="31"/>
          <w:szCs w:val="31"/>
        </w:rPr>
      </w:pPr>
      <w:r>
        <w:rPr>
          <w:rFonts w:hint="eastAsia" w:ascii="宋体" w:hAnsi="宋体" w:eastAsia="宋体" w:cs="宋体"/>
          <w:color w:val="auto"/>
          <w:sz w:val="31"/>
          <w:szCs w:val="31"/>
        </w:rPr>
        <w:t>（2）中国工商银行惠州大亚湾支行；</w:t>
      </w:r>
    </w:p>
    <w:p>
      <w:pPr>
        <w:pStyle w:val="3"/>
        <w:keepNext w:val="0"/>
        <w:keepLines w:val="0"/>
        <w:widowControl/>
        <w:suppressLineNumbers w:val="0"/>
        <w:ind w:firstLine="930" w:firstLineChars="300"/>
        <w:jc w:val="left"/>
        <w:rPr>
          <w:rFonts w:hint="eastAsia" w:ascii="宋体" w:hAnsi="宋体" w:eastAsia="宋体" w:cs="宋体"/>
          <w:color w:val="auto"/>
          <w:sz w:val="31"/>
          <w:szCs w:val="31"/>
        </w:rPr>
      </w:pPr>
      <w:r>
        <w:rPr>
          <w:rFonts w:hint="eastAsia" w:ascii="宋体" w:hAnsi="宋体" w:eastAsia="宋体" w:cs="宋体"/>
          <w:color w:val="auto"/>
          <w:sz w:val="31"/>
          <w:szCs w:val="31"/>
        </w:rPr>
        <w:t>（3）中国农业银行惠州大亚湾支行；</w:t>
      </w:r>
    </w:p>
    <w:p>
      <w:pPr>
        <w:pStyle w:val="3"/>
        <w:keepNext w:val="0"/>
        <w:keepLines w:val="0"/>
        <w:widowControl/>
        <w:suppressLineNumbers w:val="0"/>
        <w:ind w:firstLine="930" w:firstLineChars="300"/>
        <w:jc w:val="left"/>
        <w:rPr>
          <w:rFonts w:hint="eastAsia" w:ascii="宋体" w:hAnsi="宋体" w:eastAsia="宋体" w:cs="宋体"/>
          <w:color w:val="auto"/>
          <w:sz w:val="31"/>
          <w:szCs w:val="31"/>
        </w:rPr>
      </w:pPr>
      <w:r>
        <w:rPr>
          <w:rFonts w:hint="eastAsia" w:ascii="宋体" w:hAnsi="宋体" w:eastAsia="宋体" w:cs="宋体"/>
          <w:color w:val="auto"/>
          <w:sz w:val="31"/>
          <w:szCs w:val="31"/>
        </w:rPr>
        <w:t>（4）惠州农商银行大亚湾支行；</w:t>
      </w:r>
    </w:p>
    <w:p>
      <w:pPr>
        <w:pStyle w:val="3"/>
        <w:keepNext w:val="0"/>
        <w:keepLines w:val="0"/>
        <w:widowControl/>
        <w:suppressLineNumbers w:val="0"/>
        <w:ind w:firstLine="930" w:firstLineChars="300"/>
        <w:jc w:val="left"/>
        <w:rPr>
          <w:rFonts w:hint="eastAsia" w:ascii="宋体" w:hAnsi="宋体" w:eastAsia="宋体" w:cs="宋体"/>
          <w:color w:val="auto"/>
          <w:sz w:val="31"/>
          <w:szCs w:val="31"/>
        </w:rPr>
      </w:pPr>
      <w:r>
        <w:rPr>
          <w:rFonts w:hint="eastAsia" w:ascii="宋体" w:hAnsi="宋体" w:eastAsia="宋体" w:cs="宋体"/>
          <w:color w:val="auto"/>
          <w:sz w:val="31"/>
          <w:szCs w:val="31"/>
        </w:rPr>
        <w:t>（5）中国建设银行股份有限公司惠州大亚湾支行；</w:t>
      </w:r>
    </w:p>
    <w:p>
      <w:pPr>
        <w:pStyle w:val="3"/>
        <w:keepNext w:val="0"/>
        <w:keepLines w:val="0"/>
        <w:widowControl/>
        <w:suppressLineNumbers w:val="0"/>
        <w:ind w:firstLine="930" w:firstLineChars="300"/>
        <w:jc w:val="left"/>
        <w:rPr>
          <w:rFonts w:hint="eastAsia" w:ascii="宋体" w:hAnsi="宋体" w:eastAsia="宋体" w:cs="宋体"/>
          <w:color w:val="auto"/>
          <w:sz w:val="31"/>
          <w:szCs w:val="31"/>
        </w:rPr>
      </w:pPr>
      <w:r>
        <w:rPr>
          <w:rFonts w:hint="eastAsia" w:ascii="宋体" w:hAnsi="宋体" w:eastAsia="宋体" w:cs="宋体"/>
          <w:color w:val="auto"/>
          <w:sz w:val="31"/>
          <w:szCs w:val="31"/>
        </w:rPr>
        <w:t>（6）交通银行惠州大亚湾支行；</w:t>
      </w:r>
    </w:p>
    <w:p>
      <w:pPr>
        <w:pStyle w:val="3"/>
        <w:keepNext w:val="0"/>
        <w:keepLines w:val="0"/>
        <w:widowControl/>
        <w:suppressLineNumbers w:val="0"/>
        <w:ind w:firstLine="930" w:firstLineChars="300"/>
        <w:jc w:val="left"/>
        <w:rPr>
          <w:rFonts w:hint="eastAsia" w:ascii="宋体" w:hAnsi="宋体" w:eastAsia="宋体" w:cs="宋体"/>
          <w:color w:val="auto"/>
          <w:sz w:val="31"/>
          <w:szCs w:val="31"/>
        </w:rPr>
      </w:pPr>
      <w:r>
        <w:rPr>
          <w:rFonts w:hint="eastAsia" w:ascii="宋体" w:hAnsi="宋体" w:eastAsia="宋体" w:cs="宋体"/>
          <w:color w:val="auto"/>
          <w:sz w:val="31"/>
          <w:szCs w:val="31"/>
        </w:rPr>
        <w:t>（7）珠海华润银行股份有限公司惠州大亚湾支行。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 xml:space="preserve">申请人应根据网上挂牌交易系统生成的随机保证金账号按时足额交纳竞买保证金，并在网上挂牌交易系统确认竞买保证金到账之后，赋予竞买人对应宗地的竞买报价权限。 </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（六）竞买人电子报价及电子限时竞价</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竞买人通过网上挂牌交易系统进行报价。电子报价和电子限时竞价按以下规则进行：</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（1）增价方式进行报价；</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（2）竞买人可多次报价；</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（3）初次报价不得低于起始价；</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（4）每次增价数额应是规定的增价幅度的整数倍；</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（5）每次报价应当比当前最高报价至少递增1个增价幅度。</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竞买人应当谨慎报价，报价一经提交并经网上挂牌交易系统确认为有效报价，不可撤回。</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电子挂牌交易期限截止前，竞买人应当进行至少一次有效报价，方有资格参加该宗地的电子限时竞价。</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（七）确定成交候选人</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电子挂牌交易按照下列规则确定成交候选人：</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在电子挂牌交易期限内只有1个竞买人报价，且报价不低于起始价的，则该报价者为成交候选人；</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电子挂牌交易期限内有2个以上的竞买人报价，经网上挂牌交易系统询问，无竞买人愿意参加电子限时竞价的，以当前报价最高且报价不低于起始价者为成交候选人；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电子挂牌交易期限内无报价的，挂牌不成交；</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进入电子限时竞价，电子限时竞价中报价最高且报价不低于起始价者为成交候选人；</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电子限时竞价中无竞买人报价的，以电子挂牌交易截止时报价最高且报价不低于起始价者为成交候选人。</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（八）成交候选人竞买资格审查</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本宗国有建设用地使用权网上挂牌出让实行竞买资格后置审查。</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电子挂牌交易结束后，电子挂牌竞价结果即时通过网上挂牌交易系统发布。成交候选人应当在电子挂牌竞价结果公布后，按挂牌出让公告及本须知的要求将相关资料提交至委托人，由委托人进行竞买资格审查。符合竞买资格的，确定成交候选人为竞得人。</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不符合竞买资格的，取消成交候选人资格，竞价结果无效。</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（九）公布交易结果</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委托人确定竞得人后，由本中心通过网上挂牌交易系统发布交易结果。</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（十）签订成交确认书和交易合同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确定竞得人后，竞得人按挂牌交易公告规定的时间与委托人、本中心签订成交确认书，竞得人根据成交确认书约定的时间与委托人签订交易合同。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六、系统操作</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网上挂牌交易系统竞买人操作视频可在本中心网上挂牌交易系统（https://www.hzgtjy.com/）下载。</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七、注意事项</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二）单独申请竞买的，竞买申请人为非本市注册登记的企业，在竞得土地后，必须于2个月内在本市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三）联合申请竞买的，联合竞买人在提交竞买申请材料时，须提交联合竞买申请书和协议，协议主要规定联合各方的权利和义务、参与竞买的代表人、联合各方的出资比例等。联合竞买申请人竞得土地后须于2个月内在本市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firstLine="960"/>
        <w:rPr>
          <w:color w:val="auto"/>
        </w:rPr>
      </w:pPr>
      <w:r>
        <w:rPr>
          <w:rFonts w:hint="eastAsia" w:ascii="宋体" w:hAnsi="宋体" w:eastAsia="宋体" w:cs="宋体"/>
          <w:color w:val="auto"/>
          <w:sz w:val="31"/>
          <w:szCs w:val="31"/>
        </w:rPr>
        <w:t>竞得人应按挂牌出让公告规定的时间与本中心、委托人签订成交确认书，根据成交确认书约定的时间与委托人签订出让合同，并按合同约定支付成交价款。</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（五）本中心受托提供代收代退竞买保证金服务，</w:t>
      </w:r>
      <w:r>
        <w:rPr>
          <w:rFonts w:hint="eastAsia" w:ascii="宋体" w:hAnsi="宋体" w:eastAsia="宋体" w:cs="宋体"/>
          <w:color w:val="auto"/>
          <w:sz w:val="31"/>
          <w:szCs w:val="31"/>
          <w:lang w:val="en-US" w:eastAsia="zh-CN"/>
        </w:rPr>
        <w:t>只接受</w:t>
      </w:r>
      <w:r>
        <w:rPr>
          <w:rFonts w:hint="eastAsia" w:ascii="宋体" w:hAnsi="宋体" w:eastAsia="宋体" w:cs="宋体"/>
          <w:color w:val="auto"/>
          <w:sz w:val="31"/>
          <w:szCs w:val="31"/>
        </w:rPr>
        <w:t>以人民币缴纳的竞买保证金</w:t>
      </w:r>
      <w:r>
        <w:rPr>
          <w:rFonts w:hint="eastAsia" w:ascii="宋体" w:hAnsi="宋体" w:eastAsia="宋体" w:cs="宋体"/>
          <w:color w:val="auto"/>
          <w:sz w:val="31"/>
          <w:szCs w:val="31"/>
          <w:lang w:eastAsia="zh-CN"/>
        </w:rPr>
        <w:t>。</w:t>
      </w:r>
      <w:r>
        <w:rPr>
          <w:rFonts w:hint="eastAsia" w:ascii="宋体" w:hAnsi="宋体" w:eastAsia="宋体" w:cs="宋体"/>
          <w:color w:val="auto"/>
          <w:sz w:val="31"/>
          <w:szCs w:val="31"/>
        </w:rPr>
        <w:t>未竞得人缴纳的竞买保证金将于电子挂牌交易活动结束之日起5个工作日内通过网上退还的形式原路退还保证金，不计利息。</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竞得人交纳的竞买保证金转付成交价款，办理转付成交价款手续应带齐如下相关资料：</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委托方开具的银行端查询缴税凭证；</w:t>
      </w:r>
    </w:p>
    <w:p>
      <w:pPr>
        <w:pStyle w:val="3"/>
        <w:keepNext w:val="0"/>
        <w:keepLines w:val="0"/>
        <w:widowControl/>
        <w:suppressLineNumbers w:val="0"/>
        <w:spacing w:before="0" w:beforeAutospacing="0" w:after="0" w:afterAutospacing="0"/>
        <w:ind w:left="420" w:right="0" w:firstLine="210"/>
        <w:rPr>
          <w:color w:val="auto"/>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委托方开具的惠州市非税收入缴款通知；</w:t>
      </w:r>
    </w:p>
    <w:p>
      <w:pPr>
        <w:pStyle w:val="3"/>
        <w:keepNext w:val="0"/>
        <w:keepLines w:val="0"/>
        <w:widowControl/>
        <w:suppressLineNumbers w:val="0"/>
        <w:spacing w:before="0" w:beforeAutospacing="0" w:after="0" w:afterAutospacing="0"/>
        <w:ind w:left="420" w:right="0" w:firstLine="210"/>
        <w:rPr>
          <w:color w:val="auto"/>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竞价结果通知书；</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保证金到账通知书；</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保证金转账凭证。</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电子交易系统受到黑客、病毒恶意攻击的；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电子交易系统发现有安全漏洞，有潜在泄密危险，无法保证电子交易信息安全和公平公正交易的；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政府有关行政主管部门及司法机关依法要求暂停、中止或终止交易的；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委托人书面通知交易中心要求暂停、中止或终止交易的；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依法应当暂停、中止或终止交易的其他情形。</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（九）竞得人与委托人签订出让合同后，应当按出让合同约定支付网上挂牌成交价款。竞得人付清全部成交价款后，依法申请办理土地登记，领取《不动产权证书》。</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（十）网上挂牌不成交的，由委托人重新组织挂牌出让。</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（十一）出让公告、竞买须知及相关交易文件需要修改、补充时，将通过原公告发布渠道公告，不作另行通知。</w:t>
      </w:r>
    </w:p>
    <w:p>
      <w:pPr>
        <w:pStyle w:val="3"/>
        <w:keepNext w:val="0"/>
        <w:keepLines w:val="0"/>
        <w:widowControl/>
        <w:suppressLineNumbers w:val="0"/>
        <w:rPr>
          <w:color w:val="auto"/>
        </w:rPr>
      </w:pPr>
      <w:r>
        <w:rPr>
          <w:rFonts w:hint="eastAsia" w:ascii="宋体" w:hAnsi="宋体" w:eastAsia="宋体" w:cs="宋体"/>
          <w:color w:val="auto"/>
          <w:sz w:val="31"/>
          <w:szCs w:val="31"/>
        </w:rPr>
        <w:t>  申请人应当及时关注该宗地的网上挂牌交易信息。本中心发出的修改、补充公告，与出让公告、竞买须知及相关交易文件具有同等效力。若与出让公告、竞买须知及相关交易文件有矛盾时，以日期在后者为准。</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（十二）本竞买须知及出让公告涉及的时间期限，以网上挂牌交易系统服务器的时间为准。</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（十三）本中心对本《须知》有解释权。未尽事宜依照《招标拍卖挂牌出让国有土地使用权规范》办理。</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3"/>
        <w:keepNext w:val="0"/>
        <w:keepLines w:val="0"/>
        <w:widowControl/>
        <w:suppressLineNumbers w:val="0"/>
        <w:jc w:val="center"/>
        <w:rPr>
          <w:rFonts w:hint="default" w:eastAsia="宋体"/>
          <w:color w:val="auto"/>
          <w:lang w:val="en-US" w:eastAsia="zh-CN"/>
        </w:rPr>
      </w:pPr>
      <w:r>
        <w:rPr>
          <w:rFonts w:hint="eastAsia" w:ascii="宋体" w:hAnsi="宋体" w:eastAsia="宋体" w:cs="宋体"/>
          <w:color w:val="auto"/>
          <w:sz w:val="31"/>
          <w:szCs w:val="31"/>
        </w:rPr>
        <w:t>         惠州市公共资源交易中心</w:t>
      </w:r>
      <w:r>
        <w:rPr>
          <w:rFonts w:hint="eastAsia" w:ascii="宋体" w:hAnsi="宋体" w:eastAsia="宋体" w:cs="宋体"/>
          <w:color w:val="auto"/>
          <w:sz w:val="31"/>
          <w:szCs w:val="31"/>
          <w:lang w:val="en-US" w:eastAsia="zh-CN"/>
        </w:rPr>
        <w:t>大亚湾分中心</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2023年</w:t>
      </w:r>
      <w:r>
        <w:rPr>
          <w:rFonts w:hint="eastAsia" w:ascii="宋体" w:hAnsi="宋体" w:eastAsia="宋体" w:cs="宋体"/>
          <w:color w:val="auto"/>
          <w:sz w:val="31"/>
          <w:szCs w:val="31"/>
          <w:lang w:val="en-US" w:eastAsia="zh-CN"/>
        </w:rPr>
        <w:t>6</w:t>
      </w:r>
      <w:r>
        <w:rPr>
          <w:rFonts w:hint="eastAsia" w:ascii="宋体" w:hAnsi="宋体" w:eastAsia="宋体" w:cs="宋体"/>
          <w:color w:val="auto"/>
          <w:sz w:val="31"/>
          <w:szCs w:val="31"/>
        </w:rPr>
        <w:t>月</w:t>
      </w:r>
      <w:r>
        <w:rPr>
          <w:rFonts w:hint="eastAsia" w:ascii="宋体" w:hAnsi="宋体" w:eastAsia="宋体" w:cs="宋体"/>
          <w:color w:val="auto"/>
          <w:sz w:val="31"/>
          <w:szCs w:val="31"/>
          <w:lang w:val="en-US" w:eastAsia="zh-CN"/>
        </w:rPr>
        <w:t>26</w:t>
      </w:r>
      <w:r>
        <w:rPr>
          <w:rFonts w:hint="eastAsia" w:ascii="宋体" w:hAnsi="宋体" w:eastAsia="宋体" w:cs="宋体"/>
          <w:color w:val="auto"/>
          <w:sz w:val="31"/>
          <w:szCs w:val="31"/>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9794FD0"/>
    <w:rsid w:val="0C9E4D0C"/>
    <w:rsid w:val="1C351F2A"/>
    <w:rsid w:val="32E546BE"/>
    <w:rsid w:val="39EE517D"/>
    <w:rsid w:val="3A2A03AB"/>
    <w:rsid w:val="3E9E389B"/>
    <w:rsid w:val="4431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7AB7"/>
      <w:u w:val="none"/>
    </w:rPr>
  </w:style>
  <w:style w:type="character" w:styleId="8">
    <w:name w:val="HTML Definition"/>
    <w:basedOn w:val="5"/>
    <w:uiPriority w:val="0"/>
    <w:rPr>
      <w:i/>
      <w:iCs/>
    </w:rPr>
  </w:style>
  <w:style w:type="character" w:styleId="9">
    <w:name w:val="Hyperlink"/>
    <w:basedOn w:val="5"/>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uiPriority w:val="0"/>
    <w:rPr>
      <w:rFonts w:hint="default" w:ascii="Consolas" w:hAnsi="Consolas" w:eastAsia="Consolas" w:cs="Consolas"/>
      <w:sz w:val="21"/>
      <w:szCs w:val="21"/>
    </w:rPr>
  </w:style>
  <w:style w:type="character" w:customStyle="1" w:styleId="13">
    <w:name w:val="layui-layer-tabnow"/>
    <w:basedOn w:val="5"/>
    <w:uiPriority w:val="0"/>
    <w:rPr>
      <w:bdr w:val="single" w:color="CCCCCC" w:sz="6" w:space="0"/>
      <w:shd w:val="clear" w:fill="FFFFFF"/>
    </w:rPr>
  </w:style>
  <w:style w:type="character" w:customStyle="1" w:styleId="14">
    <w:name w:val="first-child"/>
    <w:basedOn w:val="5"/>
    <w:uiPriority w:val="0"/>
  </w:style>
  <w:style w:type="character" w:customStyle="1" w:styleId="15">
    <w:name w:val="actspan"/>
    <w:basedOn w:val="5"/>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2023-06-26T01:55:23Z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93B9799307594D48B25563FC974DCA9B</vt:lpwstr>
  </property>
</Properties>
</file>