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博罗县石坝镇人民政府</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钟少珍</w:t>
      </w:r>
      <w:r>
        <w:rPr>
          <w:rFonts w:hint="eastAsia" w:ascii="仿宋" w:hAnsi="仿宋" w:eastAsia="仿宋" w:cs="Arial"/>
          <w:color w:val="auto"/>
          <w:sz w:val="32"/>
          <w:szCs w:val="32"/>
        </w:rPr>
        <w:t xml:space="preserve"> </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地址：博罗县石坝镇政府大道1号</w:t>
      </w:r>
    </w:p>
    <w:p>
      <w:pPr>
        <w:jc w:val="left"/>
        <w:rPr>
          <w:rFonts w:ascii="仿宋" w:hAnsi="仿宋" w:eastAsia="仿宋" w:cs="Arial"/>
          <w:color w:val="auto"/>
          <w:sz w:val="32"/>
          <w:szCs w:val="32"/>
        </w:rPr>
      </w:pPr>
      <w:r>
        <w:rPr>
          <w:rFonts w:hint="eastAsia" w:ascii="仿宋" w:hAnsi="仿宋" w:eastAsia="仿宋" w:cs="Arial"/>
          <w:color w:val="auto"/>
          <w:sz w:val="32"/>
          <w:szCs w:val="32"/>
        </w:rPr>
        <w:t>联系电话：0752-6160019</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博罗县石坝镇下坑股份经济合作联合社位于大岭头（土名）地段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9998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博自然资（用地）挂字〔2024〕8号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1.2-2.0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b w:val="0"/>
          <w:bCs/>
          <w:sz w:val="32"/>
          <w:szCs w:val="32"/>
          <w:highlight w:val="none"/>
          <w:u w:val="single"/>
          <w:lang w:val="en-US" w:eastAsia="zh-CN"/>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本宗地应引进在国民经济行业分类中类别为：</w:t>
      </w:r>
      <w:r>
        <w:rPr>
          <w:rFonts w:hint="eastAsia" w:ascii="仿宋_GB2312" w:hAnsi="仿宋_GB2312" w:eastAsia="仿宋_GB2312" w:cs="仿宋_GB2312"/>
          <w:sz w:val="32"/>
          <w:szCs w:val="32"/>
          <w:u w:val="single"/>
          <w:lang w:val="en-US" w:eastAsia="zh-CN"/>
        </w:rPr>
        <w:t xml:space="preserve"> 有机肥料及微生物肥料制造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sz w:val="32"/>
          <w:szCs w:val="32"/>
          <w:u w:val="none"/>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w:t>
      </w:r>
      <w:r>
        <w:rPr>
          <w:rFonts w:hint="eastAsia" w:ascii="仿宋_GB2312" w:hAnsi="仿宋_GB2312" w:eastAsia="仿宋_GB2312" w:cs="仿宋_GB2312"/>
          <w:b w:val="0"/>
          <w:bCs/>
          <w:sz w:val="32"/>
          <w:szCs w:val="32"/>
          <w:highlight w:val="none"/>
          <w:u w:val="single"/>
          <w:lang w:val="en-US" w:eastAsia="zh-CN"/>
        </w:rPr>
        <w:t>建设一栋科研大楼。主要从事生物有机肥料研发、复合微生物肥料研发，机械设备研发，农林废物资源化无害化利用技术研发等。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0.48</w:t>
      </w:r>
      <w:r>
        <w:rPr>
          <w:rFonts w:hint="eastAsia" w:ascii="仿宋_GB2312" w:hAnsi="仿宋_GB2312" w:eastAsia="仿宋_GB2312" w:cs="仿宋_GB2312"/>
          <w:sz w:val="32"/>
          <w:szCs w:val="32"/>
        </w:rPr>
        <w:t>亿元 （人民币）。乙方承诺：项目投资强度不低于</w:t>
      </w:r>
      <w:bookmarkStart w:id="0" w:name="_GoBack"/>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320</w:t>
      </w:r>
      <w:r>
        <w:rPr>
          <w:rFonts w:hint="eastAsia" w:ascii="仿宋_GB2312" w:hAnsi="仿宋_GB2312" w:eastAsia="仿宋_GB2312" w:cs="仿宋_GB2312"/>
          <w:sz w:val="32"/>
          <w:szCs w:val="32"/>
          <w:highlight w:val="none"/>
        </w:rPr>
        <w:t>万元/亩（人民币），项目投产后，每年的研发经费投入比例不低于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1.6%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，每年工业增加值率不低于上一年度惠州市同一行业标准；项目</w:t>
      </w:r>
      <w:r>
        <w:rPr>
          <w:rFonts w:hint="eastAsia" w:ascii="仿宋_GB2312" w:hAnsi="仿宋_GB2312" w:eastAsia="仿宋_GB2312" w:cs="仿宋_GB2312"/>
          <w:sz w:val="32"/>
          <w:szCs w:val="32"/>
          <w:highlight w:val="none"/>
          <w:lang w:val="en-US" w:eastAsia="zh-CN"/>
        </w:rPr>
        <w:t>全部</w:t>
      </w:r>
      <w:r>
        <w:rPr>
          <w:rFonts w:hint="eastAsia" w:ascii="仿宋_GB2312" w:hAnsi="仿宋_GB2312" w:eastAsia="仿宋_GB2312" w:cs="仿宋_GB2312"/>
          <w:sz w:val="32"/>
          <w:szCs w:val="32"/>
          <w:highlight w:val="none"/>
        </w:rPr>
        <w:t>建成</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达产后</w:t>
      </w:r>
      <w:r>
        <w:rPr>
          <w:rFonts w:hint="eastAsia" w:ascii="仿宋_GB2312" w:hAnsi="仿宋_GB2312" w:eastAsia="仿宋_GB2312" w:cs="仿宋_GB2312"/>
          <w:sz w:val="32"/>
          <w:szCs w:val="32"/>
          <w:highlight w:val="none"/>
          <w:lang w:val="en-US" w:eastAsia="zh-CN"/>
        </w:rPr>
        <w:t>，可实现年销售总额（年产值）</w:t>
      </w:r>
      <w:r>
        <w:rPr>
          <w:rFonts w:hint="eastAsia" w:ascii="仿宋_GB2312" w:hAnsi="仿宋_GB2312" w:eastAsia="仿宋_GB2312" w:cs="仿宋_GB2312"/>
          <w:sz w:val="32"/>
          <w:szCs w:val="32"/>
          <w:highlight w:val="none"/>
        </w:rPr>
        <w:t>不低于</w:t>
      </w:r>
      <w:r>
        <w:rPr>
          <w:rFonts w:hint="eastAsia" w:ascii="仿宋_GB2312" w:hAnsi="仿宋_GB2312" w:eastAsia="仿宋_GB2312" w:cs="仿宋_GB2312"/>
          <w:sz w:val="32"/>
          <w:szCs w:val="32"/>
          <w:highlight w:val="none"/>
          <w:u w:val="single"/>
          <w:lang w:val="en-US" w:eastAsia="zh-CN"/>
        </w:rPr>
        <w:t xml:space="preserve"> 640</w:t>
      </w:r>
      <w:r>
        <w:rPr>
          <w:rFonts w:hint="eastAsia" w:ascii="仿宋_GB2312" w:hAnsi="仿宋_GB2312" w:eastAsia="仿宋_GB2312" w:cs="仿宋_GB2312"/>
          <w:sz w:val="32"/>
          <w:szCs w:val="32"/>
          <w:highlight w:val="none"/>
        </w:rPr>
        <w:t>万元/亩（人民币），</w:t>
      </w:r>
      <w:r>
        <w:rPr>
          <w:rFonts w:hint="eastAsia" w:ascii="仿宋_GB2312" w:hAnsi="仿宋_GB2312" w:eastAsia="仿宋_GB2312" w:cs="仿宋_GB2312"/>
          <w:sz w:val="32"/>
          <w:szCs w:val="32"/>
          <w:highlight w:val="none"/>
          <w:lang w:val="en-US" w:eastAsia="zh-CN"/>
        </w:rPr>
        <w:t>可实现</w:t>
      </w:r>
      <w:r>
        <w:rPr>
          <w:rFonts w:hint="eastAsia" w:ascii="仿宋_GB2312" w:hAnsi="仿宋_GB2312" w:eastAsia="仿宋_GB2312" w:cs="仿宋_GB2312"/>
          <w:sz w:val="32"/>
          <w:szCs w:val="32"/>
          <w:highlight w:val="none"/>
        </w:rPr>
        <w:t>年纳税额不低于</w:t>
      </w:r>
      <w:r>
        <w:rPr>
          <w:rFonts w:hint="eastAsia" w:ascii="仿宋_GB2312" w:hAnsi="仿宋_GB2312" w:eastAsia="仿宋_GB2312" w:cs="仿宋_GB2312"/>
          <w:sz w:val="32"/>
          <w:szCs w:val="32"/>
          <w:highlight w:val="none"/>
          <w:u w:val="single"/>
          <w:lang w:val="en-US" w:eastAsia="zh-CN"/>
        </w:rPr>
        <w:t xml:space="preserve"> 19</w:t>
      </w:r>
      <w:r>
        <w:rPr>
          <w:rFonts w:hint="eastAsia" w:ascii="仿宋_GB2312" w:hAnsi="仿宋_GB2312" w:eastAsia="仿宋_GB2312" w:cs="仿宋_GB2312"/>
          <w:sz w:val="32"/>
          <w:szCs w:val="32"/>
          <w:highlight w:val="none"/>
        </w:rPr>
        <w:t>万元/亩（人民</w:t>
      </w:r>
      <w:bookmarkEnd w:id="0"/>
      <w:r>
        <w:rPr>
          <w:rFonts w:hint="eastAsia" w:ascii="仿宋_GB2312" w:hAnsi="仿宋_GB2312" w:eastAsia="仿宋_GB2312" w:cs="仿宋_GB2312"/>
          <w:sz w:val="32"/>
          <w:szCs w:val="32"/>
        </w:rPr>
        <w:t>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1C54A8"/>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7696F85"/>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663097"/>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06A67"/>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304100"/>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776BAC"/>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B9611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6396E"/>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13</TotalTime>
  <ScaleCrop>false</ScaleCrop>
  <LinksUpToDate>false</LinksUpToDate>
  <CharactersWithSpaces>3360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2024-04-09T06:52:24Z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