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cs="华文中宋"/>
          <w:sz w:val="44"/>
          <w:szCs w:val="44"/>
        </w:rPr>
      </w:pPr>
      <w:bookmarkStart w:id="0" w:name="OLE_LINK1"/>
      <w:bookmarkStart w:id="1" w:name="OLE_LINK2"/>
      <w:bookmarkStart w:id="2" w:name="OLE_LINK3"/>
      <w:r>
        <w:rPr>
          <w:rFonts w:hint="eastAsia" w:ascii="华文中宋" w:hAnsi="华文中宋" w:eastAsia="华文中宋" w:cs="华文中宋"/>
          <w:sz w:val="44"/>
          <w:szCs w:val="44"/>
        </w:rPr>
        <w:t>惠州市惠东县国有建设用地使用权</w:t>
      </w:r>
    </w:p>
    <w:p>
      <w:pPr>
        <w:spacing w:line="600" w:lineRule="exact"/>
        <w:jc w:val="center"/>
        <w:rPr>
          <w:rFonts w:ascii="华文中宋" w:hAnsi="华文中宋" w:eastAsia="华文中宋" w:cs="华文中宋"/>
          <w:sz w:val="44"/>
          <w:szCs w:val="44"/>
        </w:rPr>
      </w:pPr>
      <w:r>
        <w:rPr>
          <w:rFonts w:hint="eastAsia" w:ascii="华文中宋" w:hAnsi="华文中宋" w:eastAsia="华文中宋" w:cs="华文中宋"/>
          <w:sz w:val="44"/>
          <w:szCs w:val="44"/>
        </w:rPr>
        <w:t>网上挂牌出让竞买须知</w:t>
      </w:r>
    </w:p>
    <w:p>
      <w:pPr>
        <w:jc w:val="center"/>
        <w:rPr>
          <w:rFonts w:ascii="仿宋" w:hAnsi="仿宋" w:eastAsia="仿宋" w:cs="仿宋"/>
          <w:sz w:val="32"/>
          <w:szCs w:val="32"/>
        </w:rPr>
      </w:pPr>
      <w:r>
        <w:rPr>
          <w:rFonts w:hint="eastAsia" w:ascii="仿宋" w:hAnsi="仿宋" w:eastAsia="仿宋" w:cs="仿宋_GB2312"/>
          <w:b/>
          <w:bCs/>
          <w:sz w:val="32"/>
          <w:szCs w:val="32"/>
        </w:rPr>
        <w:t>惠东资源土挂（知）字</w:t>
      </w:r>
      <w:r>
        <w:rPr>
          <w:rFonts w:hint="eastAsia" w:ascii="宋体" w:hAnsi="宋体" w:cs="宋体"/>
          <w:b/>
          <w:bCs/>
          <w:sz w:val="32"/>
          <w:szCs w:val="32"/>
        </w:rPr>
        <w:t>〔</w:t>
      </w:r>
      <w:r>
        <w:rPr>
          <w:rFonts w:hint="eastAsia" w:ascii="仿宋" w:hAnsi="仿宋" w:eastAsia="仿宋" w:cs="仿宋_GB2312"/>
          <w:b/>
          <w:bCs/>
          <w:sz w:val="32"/>
          <w:szCs w:val="32"/>
        </w:rPr>
        <w:t>202</w:t>
      </w:r>
      <w:r>
        <w:rPr>
          <w:rFonts w:hint="eastAsia" w:ascii="仿宋" w:hAnsi="仿宋" w:eastAsia="仿宋" w:cs="仿宋_GB2312"/>
          <w:b/>
          <w:bCs/>
          <w:sz w:val="32"/>
          <w:szCs w:val="32"/>
          <w:lang w:val="en-US" w:eastAsia="zh-CN"/>
        </w:rPr>
        <w:t>6</w:t>
      </w:r>
      <w:r>
        <w:rPr>
          <w:rFonts w:hint="eastAsia" w:ascii="宋体" w:hAnsi="宋体" w:cs="宋体"/>
          <w:b/>
          <w:bCs/>
          <w:sz w:val="32"/>
          <w:szCs w:val="32"/>
        </w:rPr>
        <w:t>〕</w:t>
      </w:r>
      <w:r>
        <w:rPr>
          <w:rFonts w:hint="eastAsia" w:ascii="仿宋" w:hAnsi="仿宋" w:eastAsia="仿宋" w:cs="仿宋_GB2312"/>
          <w:b/>
          <w:bCs/>
          <w:sz w:val="32"/>
          <w:szCs w:val="32"/>
          <w:lang w:val="en-US" w:eastAsia="zh-CN"/>
        </w:rPr>
        <w:t>031</w:t>
      </w:r>
      <w:r>
        <w:rPr>
          <w:rFonts w:hint="eastAsia" w:ascii="仿宋" w:hAnsi="仿宋" w:eastAsia="仿宋" w:cs="仿宋_GB2312"/>
          <w:b/>
          <w:bCs/>
          <w:sz w:val="32"/>
          <w:szCs w:val="32"/>
        </w:rPr>
        <w:t>号</w:t>
      </w:r>
    </w:p>
    <w:bookmarkEnd w:id="0"/>
    <w:p>
      <w:pPr>
        <w:ind w:firstLine="640" w:firstLineChars="200"/>
        <w:rPr>
          <w:rFonts w:ascii="仿宋" w:hAnsi="仿宋" w:eastAsia="仿宋" w:cs="仿宋"/>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国有建设用地使用权网上挂牌出让，是指在惠州市公共资源交易平台发布挂牌出让公告和竞买须知，竞买人通过惠州市公共资源交易中心土地与矿业挂牌电子交易系统（以下简称“电子交易系统”）参与电子挂牌交易的行为。本《惠州市国有建设用地使用权网上挂牌出让竞买须知》（以下简称“竞买须知”）是具备法律约束力的重要文件，竞买人须详细阅读。</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二、本宗国有建设用地使用权网上挂牌出让遵循公开、公平、公正和诚实信用原则。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三、中华人民共和国境内外的</w:t>
      </w:r>
      <w:r>
        <w:rPr>
          <w:rFonts w:hint="eastAsia" w:ascii="仿宋_GB2312" w:hAnsi="仿宋_GB2312" w:eastAsia="仿宋_GB2312" w:cs="仿宋_GB2312"/>
          <w:sz w:val="32"/>
          <w:szCs w:val="32"/>
          <w:lang w:eastAsia="zh-CN"/>
        </w:rPr>
        <w:t>自然人、</w:t>
      </w:r>
      <w:r>
        <w:rPr>
          <w:rFonts w:hint="eastAsia" w:ascii="仿宋_GB2312" w:hAnsi="仿宋_GB2312" w:eastAsia="仿宋_GB2312" w:cs="仿宋_GB2312"/>
          <w:sz w:val="32"/>
          <w:szCs w:val="32"/>
        </w:rPr>
        <w:t>法人和其他组织（除法律法规另有规定外），符合竞买资格的，均可通过电子交易系统，申请参加电子挂牌交易活动。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国有建设用地使用权网上挂牌出让公告（以下简称“挂牌出让公告”）对竞买资格有特别要求的，以挂牌出让公告为准。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四、申请人对网上挂牌出让文件有疑问的，可在网上挂牌活动开始前以书面或者口头方式向</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自然资源局咨询。有意竞买者可自行踏勘现场（可在</w:t>
      </w:r>
      <w:r>
        <w:rPr>
          <w:rFonts w:hint="eastAsia" w:ascii="仿宋_GB2312" w:hAnsi="仿宋_GB2312" w:eastAsia="仿宋_GB2312" w:cs="仿宋_GB2312"/>
          <w:sz w:val="32"/>
          <w:szCs w:val="32"/>
          <w:lang w:eastAsia="zh-CN"/>
        </w:rPr>
        <w:t>电子交易系统</w:t>
      </w:r>
      <w:r>
        <w:rPr>
          <w:rFonts w:hint="eastAsia" w:ascii="仿宋_GB2312" w:hAnsi="仿宋_GB2312" w:eastAsia="仿宋_GB2312" w:cs="仿宋_GB2312"/>
          <w:sz w:val="32"/>
          <w:szCs w:val="32"/>
        </w:rPr>
        <w:t>查阅位置图和现状图）。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五、网上挂牌交易程序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（一）发布网上挂牌信息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有关宗地的</w:t>
      </w:r>
      <w:r>
        <w:rPr>
          <w:rFonts w:hint="eastAsia" w:ascii="仿宋_GB2312" w:hAnsi="仿宋_GB2312" w:eastAsia="仿宋_GB2312" w:cs="仿宋_GB2312"/>
          <w:sz w:val="32"/>
          <w:szCs w:val="32"/>
          <w:lang w:eastAsia="zh-CN"/>
        </w:rPr>
        <w:t>网上</w:t>
      </w:r>
      <w:r>
        <w:rPr>
          <w:rFonts w:hint="eastAsia" w:ascii="仿宋_GB2312" w:hAnsi="仿宋_GB2312" w:eastAsia="仿宋_GB2312" w:cs="仿宋_GB2312"/>
          <w:sz w:val="32"/>
          <w:szCs w:val="32"/>
        </w:rPr>
        <w:t>挂牌交易公告等相关信息通过中国土地市场网、广东省公共资源交易平台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电子交易系统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交易大厅的电子显示屏等媒介同步发布。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有意竞买者可登录电子交易系统网站(https://tdky.hzggzyjy.cn/)查询。</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（二）挂牌文件获取</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申请人可在电子交易系统浏览和下载本宗地网上挂牌出让文件，具体包括：</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国有建设用地使用权网上挂牌出让公告；</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国有建设用地使用权网上挂牌出让竞买须知；</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3、挂牌出让地块现状图；</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4、建设用地红线界限图；</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5、建设用地规划设计条件；</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6、国有建设用地使用权网上挂牌成交确认书（样本）；</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7、国有建设用地使用权出让合同（样本）；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8、其他相关文件。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（三）办理数字证书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1、本宗国有建设用地使用权网上挂牌出让只能在互联网上，通过电子交易系统进行。只有通过网上注册、办理数字证书、按要求足额交付竞买保证金的申请人，才能参加网上挂牌交易活动。 </w:t>
      </w:r>
    </w:p>
    <w:p>
      <w:pPr>
        <w:pStyle w:val="2"/>
        <w:spacing w:line="54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办理数字证书是参加本宗地网上挂牌出让活动的必经程序，申请人应当携带相关有效证件到广东省数字证书认证中心惠州办理点（地址：广东省惠州市惠城区三新北路31号市民服务中心3号楼惠州市公共资源交易中心一楼大厅1号土地与矿业交易窗口，电话：0752-7121029）申请办理</w:t>
      </w:r>
      <w:r>
        <w:rPr>
          <w:rFonts w:hint="eastAsia" w:ascii="仿宋_GB2312" w:hAnsi="仿宋_GB2312" w:eastAsia="仿宋_GB2312" w:cs="仿宋_GB2312"/>
          <w:sz w:val="32"/>
          <w:szCs w:val="32"/>
          <w:lang w:eastAsia="zh-CN"/>
        </w:rPr>
        <w:t>。</w:t>
      </w:r>
    </w:p>
    <w:p>
      <w:pPr>
        <w:pStyle w:val="2"/>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数字证书的办理流程详见</w:t>
      </w:r>
      <w:r>
        <w:rPr>
          <w:rFonts w:hint="eastAsia" w:ascii="仿宋_GB2312" w:hAnsi="仿宋_GB2312" w:eastAsia="仿宋_GB2312" w:cs="仿宋_GB2312"/>
          <w:sz w:val="32"/>
          <w:szCs w:val="32"/>
          <w:lang w:eastAsia="zh-CN"/>
        </w:rPr>
        <w:t>电子交易系统</w:t>
      </w:r>
      <w:r>
        <w:rPr>
          <w:rFonts w:hint="eastAsia" w:ascii="仿宋_GB2312" w:hAnsi="仿宋_GB2312" w:eastAsia="仿宋_GB2312" w:cs="仿宋_GB2312"/>
          <w:sz w:val="32"/>
          <w:szCs w:val="32"/>
        </w:rPr>
        <w:t>上的《数字证书办理指南》。</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（四）申请竞买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好数字证书的申请人决定参加本宗地网上挂牌竞买的，应按电子交易系统要求填写真实有效的申请人身份等信息并在电子交易系统提交竞买申请。联合竞买的，应当按要求如实填写联合竞买各方的相关信息和出资比例。单笔竞买保证金对应一宗国有建设用地使用权竞买，如需竞买多宗国有建设用地使用权，须分别按时足额交纳各宗国有建设用地使用权对应的竞买保证金。竞买保证金交纳截止时间以挂牌出让公告时间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（五）交纳竞买保证金并获得竞买报价权限</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1、竞买保证金是申请人参加网上挂牌交易活动的资格条件。按规定将竞买保证金汇入指定账户，是参加网上挂牌交易活动的必经程序。</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2、竞买人应当提前交纳竞买保证金，以确保竞买保证金在到账截止时间前到账，超过到账截止时间到账的竞买保证金，电子交易系统将不予受理，造成的损失由竞买人自行承担。</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3、跨地区或跨行转账的竞买人，需预足资金的在途时间，以免影响竞买人及时取得竞买报价权限。</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4、竞买保证金到账时间以电子交易系统确认并发出《竞买保证金到账通知书》为准。</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5、竞买保证金开户单位：惠州市公共资源交易中心惠东分中心</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竞买保证金账号：</w:t>
      </w:r>
      <w:r>
        <w:rPr>
          <w:rFonts w:hint="eastAsia" w:ascii="仿宋_GB2312" w:hAnsi="仿宋_GB2312" w:eastAsia="仿宋_GB2312" w:cs="仿宋_GB2312"/>
          <w:sz w:val="32"/>
          <w:szCs w:val="32"/>
          <w:lang w:eastAsia="zh-CN"/>
        </w:rPr>
        <w:t>电子</w:t>
      </w:r>
      <w:r>
        <w:rPr>
          <w:rFonts w:hint="eastAsia" w:ascii="仿宋_GB2312" w:hAnsi="仿宋_GB2312" w:eastAsia="仿宋_GB2312" w:cs="仿宋_GB2312"/>
          <w:sz w:val="32"/>
          <w:szCs w:val="32"/>
        </w:rPr>
        <w:t>交易系统随机产生竞买保证金支付账号。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（1）广东惠东农村商业银行股份有限公司；</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（2）广发银行股份有限公司</w:t>
      </w:r>
      <w:r>
        <w:rPr>
          <w:rFonts w:hint="eastAsia" w:ascii="仿宋_GB2312" w:hAnsi="仿宋_GB2312" w:eastAsia="仿宋_GB2312" w:cs="仿宋_GB2312"/>
          <w:sz w:val="32"/>
          <w:szCs w:val="32"/>
          <w:lang w:eastAsia="zh-CN"/>
        </w:rPr>
        <w:t>惠州</w:t>
      </w:r>
      <w:r>
        <w:rPr>
          <w:rFonts w:hint="eastAsia" w:ascii="仿宋_GB2312" w:hAnsi="仿宋_GB2312" w:eastAsia="仿宋_GB2312" w:cs="仿宋_GB2312"/>
          <w:sz w:val="32"/>
          <w:szCs w:val="32"/>
        </w:rPr>
        <w:t>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（3）中国建设银行股份有限公司惠东支行；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（4）中国银行股份有限公司惠州惠东支行；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（5）中国农业银行股份有限公司惠东县支行；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（6）中国工商银行股份有限公司惠东支行；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（7）中国邮政储蓄银行股份有限公司惠东县支行；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6、申请人应根据电子交易系统生成的随机保证金账号按时足额交纳竞买保证金，在电子交易系统确认竞买保证金按时足额到账之后，竞买人将被赋予对应宗地的竞买报价权限。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（六）竞买人电子报价及电子限时竞价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1、竞买人通过电子交易系统进行报价。电子报价和电子限时竞价按以下规则进行：</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（1）增价方式进行报价；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（2）竞买人可多次报价；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（3）初次报价不得低于起始价；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（4）每次增价数额应是规定的增价幅度的整数倍；</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（5）每次报价应当比当前最高报价至少递增1个增价幅度。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2、竞买人应当谨慎报价，报价一经提交并经电子交易系统确认为有效报价，不可撤回。</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电子挂牌交易期限截止前，竞买人应当进行至少一次有效报价，方有资格参加交易宗地的电子限时竞价。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限时竞价是指在挂牌出让公告规定的电子挂牌交易期限截止时，有2个以上的竞买人报价，且经电子交易系统询问，5分钟内限时决定是否愿意继续报价，有竞买人愿意继续报价的，电子交易系统以高于当前最高报价一个增价幅度的价格为起始价，电子交易系统开始第一次5分钟倒计时限时报价，如在5分钟内的任一时点有新的有效报价，电子交易系统即从此时点起重新计算5分钟的限时报价时间，供竞买人作新一轮报价，并按此方式不断顺延下去,直至5分钟限时报价时间内没有新的有效报价，电子交易系统将自动关闭报价通道，确认当前最高报价为最终报价，电子交易系统即时显示电子挂牌竞价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人应当在电子挂牌交易期限截止前登录电子交易系统，密切关注交易动态。竞买人应当在电子挂牌交易期限截止后5分钟内做出是否参加电子限时竞价的决定并提交电子交易系统，超过5分钟未提交的，电子交易系统默认该竞买人参加电子限时竞价活动，但在电子挂牌交易期限截止前未进行至少一次有效报价的竞买人除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（七）确定成交候选人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电子挂牌交易按照下列规则确定成交候选人：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1、在电子挂牌交易期限内只有1个竞买人报价，且报价不低于起始价的，则该报价者为成交候选人；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2、电子挂牌交易期限内有2个以上的竞买人报价，经电子交易系统询问，无竞买人愿意参加电子限时竞价的，以当前报价最高且报价不低于起始价者为成交候选人；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3、电子挂牌交易期限内无报价的，挂牌不成交；</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4、进入电子限时竞价，电子限时竞价中报价最高且报价不低于起始价者为成交候选人；</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5、进入电子限时竞价，但电子限时竞价中无竞买人报价的，以电子挂牌交易截止时报价最高且报价不低于起始价者为成交候选人</w:t>
      </w:r>
      <w:r>
        <w:rPr>
          <w:rFonts w:hint="eastAsia" w:ascii="仿宋_GB2312" w:hAnsi="仿宋_GB2312" w:eastAsia="仿宋_GB2312" w:cs="仿宋_GB2312"/>
          <w:sz w:val="32"/>
          <w:szCs w:val="32"/>
          <w:lang w:eastAsia="zh-CN"/>
        </w:rPr>
        <w:t>。</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（八）公布交易结果</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委托人确定竞得人后，由交易中心通过电子交易系统发布交易结果。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）签订成交确认书和交易合同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确定竞得人后，竞得人按挂牌出让公告规定的时间与委托人、交易中心签订《国有建设用地使用权网上挂牌成交确认书》（以下简称“成交确认书”），竞得人根据成交确认书约定的时间与委托人签订交易合同。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六、系统操作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电子交易系统竞买人操作视频可在交易中心电子交易系统下载。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七、注意事项</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买人须详细阅读挂牌出让公告、竞买须知及《惠州市公共资源电子交易规则》，竞买申请一经受理确认后，即视为竞买人对挂牌出让公告、竞买须知、相关交易文件及地块现状无异议并全部接受，竞买人对有关承诺承担法律责任。</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单独申请竞买的，竞买申请人为非</w:t>
      </w:r>
      <w:r>
        <w:rPr>
          <w:rFonts w:hint="eastAsia" w:ascii="仿宋_GB2312" w:hAnsi="仿宋_GB2312" w:eastAsia="仿宋_GB2312" w:cs="仿宋_GB2312"/>
          <w:color w:val="auto"/>
          <w:sz w:val="32"/>
          <w:szCs w:val="32"/>
          <w:lang w:eastAsia="zh-CN"/>
        </w:rPr>
        <w:t>本县</w:t>
      </w:r>
      <w:r>
        <w:rPr>
          <w:rFonts w:hint="eastAsia" w:ascii="仿宋_GB2312" w:hAnsi="仿宋_GB2312" w:eastAsia="仿宋_GB2312" w:cs="仿宋_GB2312"/>
          <w:color w:val="auto"/>
          <w:sz w:val="32"/>
          <w:szCs w:val="32"/>
        </w:rPr>
        <w:t>注册登记的企业，在竞得土地后，必须</w:t>
      </w:r>
      <w:r>
        <w:rPr>
          <w:rFonts w:hint="eastAsia" w:ascii="仿宋_GB2312" w:hAnsi="仿宋_GB2312" w:eastAsia="仿宋_GB2312" w:cs="仿宋_GB2312"/>
          <w:color w:val="auto"/>
          <w:sz w:val="32"/>
          <w:szCs w:val="32"/>
          <w:lang w:eastAsia="zh-CN"/>
        </w:rPr>
        <w:t>在《惠州市惠东县国有建设用地使用权网上挂牌出让成交确认书》（以下简称“《成交确认书》”）签订后</w:t>
      </w:r>
      <w:r>
        <w:rPr>
          <w:rFonts w:hint="eastAsia" w:ascii="仿宋_GB2312" w:hAnsi="仿宋_GB2312" w:eastAsia="仿宋_GB2312" w:cs="仿宋_GB2312"/>
          <w:color w:val="auto"/>
          <w:sz w:val="32"/>
          <w:szCs w:val="32"/>
          <w:lang w:val="en-US" w:eastAsia="zh-CN"/>
        </w:rPr>
        <w:t>30日</w:t>
      </w:r>
      <w:r>
        <w:rPr>
          <w:rFonts w:hint="eastAsia" w:ascii="仿宋_GB2312" w:hAnsi="仿宋_GB2312" w:eastAsia="仿宋_GB2312" w:cs="仿宋_GB2312"/>
          <w:color w:val="auto"/>
          <w:sz w:val="32"/>
          <w:szCs w:val="32"/>
        </w:rPr>
        <w:t>内在</w:t>
      </w:r>
      <w:r>
        <w:rPr>
          <w:rFonts w:hint="eastAsia" w:ascii="仿宋_GB2312" w:hAnsi="仿宋_GB2312" w:eastAsia="仿宋_GB2312" w:cs="仿宋_GB2312"/>
          <w:color w:val="auto"/>
          <w:sz w:val="32"/>
          <w:szCs w:val="32"/>
          <w:lang w:eastAsia="zh-CN"/>
        </w:rPr>
        <w:t>惠东县市场监督管理局</w:t>
      </w:r>
      <w:r>
        <w:rPr>
          <w:rFonts w:hint="eastAsia" w:ascii="仿宋_GB2312" w:hAnsi="仿宋_GB2312" w:eastAsia="仿宋_GB2312" w:cs="仿宋_GB2312"/>
          <w:color w:val="auto"/>
          <w:sz w:val="32"/>
          <w:szCs w:val="32"/>
        </w:rPr>
        <w:t>注册成立项目开发公司，并以该公司名义办理土地出让与登记发证手续。项目开发公司必须是竞得人的全资子公司，即竞得人必须持有项目开发公司100%的股权（份）。根据挂牌出让结果，竞得人可先与出让人签订《国有建设用地使用权出让合同》（以下简称“《出让合同》”），在竞得人按约定办理完项目开发公司注册登记手续后，项目开发公司再与出让人签订《出让合同》补充条款；也可按约定直接与项目开发公司签订《出让合同》</w:t>
      </w:r>
      <w:r>
        <w:rPr>
          <w:rFonts w:hint="eastAsia" w:ascii="仿宋_GB2312" w:hAnsi="仿宋_GB2312" w:eastAsia="仿宋_GB2312" w:cs="仿宋_GB2312"/>
          <w:sz w:val="32"/>
          <w:szCs w:val="32"/>
        </w:rPr>
        <w:t>。</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联合申请竞买的，联合竞买人在提交竞买申请材料时，须提交联合竞买申请书和协议，协议主要约定联合各方的权利和义务、参与竞买的代表人、联合各方的出资比例等。联合竞买申请竞得</w:t>
      </w:r>
      <w:r>
        <w:rPr>
          <w:rFonts w:hint="eastAsia" w:ascii="仿宋_GB2312" w:hAnsi="仿宋_GB2312" w:eastAsia="仿宋_GB2312" w:cs="仿宋_GB2312"/>
          <w:sz w:val="32"/>
          <w:szCs w:val="32"/>
          <w:lang w:eastAsia="zh-CN"/>
        </w:rPr>
        <w:t>人</w:t>
      </w:r>
      <w:r>
        <w:rPr>
          <w:rFonts w:hint="eastAsia" w:ascii="仿宋_GB2312" w:hAnsi="仿宋_GB2312" w:eastAsia="仿宋_GB2312" w:cs="仿宋_GB2312"/>
          <w:sz w:val="32"/>
          <w:szCs w:val="32"/>
        </w:rPr>
        <w:t>必须</w:t>
      </w:r>
      <w:r>
        <w:rPr>
          <w:rFonts w:hint="eastAsia" w:ascii="仿宋_GB2312" w:hAnsi="仿宋_GB2312" w:eastAsia="仿宋_GB2312" w:cs="仿宋_GB2312"/>
          <w:sz w:val="32"/>
          <w:szCs w:val="32"/>
          <w:lang w:eastAsia="zh-CN"/>
        </w:rPr>
        <w:t>在《成交确认书》签订后</w:t>
      </w:r>
      <w:r>
        <w:rPr>
          <w:rFonts w:hint="eastAsia" w:ascii="仿宋_GB2312" w:hAnsi="仿宋_GB2312" w:eastAsia="仿宋_GB2312" w:cs="仿宋_GB2312"/>
          <w:sz w:val="32"/>
          <w:szCs w:val="32"/>
          <w:lang w:val="en-US" w:eastAsia="zh-CN"/>
        </w:rPr>
        <w:t>30日</w:t>
      </w:r>
      <w:r>
        <w:rPr>
          <w:rFonts w:hint="eastAsia" w:ascii="仿宋_GB2312" w:hAnsi="仿宋_GB2312" w:eastAsia="仿宋_GB2312" w:cs="仿宋_GB2312"/>
          <w:sz w:val="32"/>
          <w:szCs w:val="32"/>
        </w:rPr>
        <w:t>内在</w:t>
      </w:r>
      <w:r>
        <w:rPr>
          <w:rFonts w:hint="eastAsia" w:ascii="仿宋_GB2312" w:hAnsi="仿宋_GB2312" w:eastAsia="仿宋_GB2312" w:cs="仿宋_GB2312"/>
          <w:sz w:val="32"/>
          <w:szCs w:val="32"/>
          <w:lang w:eastAsia="zh-CN"/>
        </w:rPr>
        <w:t>惠东县市场监督管理局</w:t>
      </w:r>
      <w:r>
        <w:rPr>
          <w:rFonts w:hint="eastAsia" w:ascii="仿宋_GB2312" w:hAnsi="仿宋_GB2312" w:eastAsia="仿宋_GB2312" w:cs="仿宋_GB2312"/>
          <w:sz w:val="32"/>
          <w:szCs w:val="32"/>
        </w:rPr>
        <w:t>按照申请书申报的出资人及出资比例设立项目开发公司。根据挂牌出让结果，竞得人可先与出让人签订《出让合同》，在竞得人按约定办理完项目开发公司注册登记手续后，项目开发公司再与出让人签订《出让合同》补充条款；也可按约定直接与项目开发公司签订《出让合同》，并以项目开发公司名义办理土地登记发证手续，但不能按联合申请人各自出资比例分割办证。</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境外成交候选人按照规定提交的有关身份证明及其他相关文件，应按规定由中华人民共和国驻该国、该地区大使馆或领事馆公证或认证；香港成交候选人身份证明及其他相关文件应由中华人民共和国司法部授权的香港律师公证人公证并由中国法律服务（香港）有限公司加盖转递章；澳门成交候选人身份证明及其他相关文件应由中华人民共和国司法部授权的澳门律师公证人公证；台湾成交候选人身份证明及其他相关文件应由台湾公证人公证并存广东省公证协会副本备案。</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（四）《竞价结果通知书》对委托人和成交候选人具有法律效力，委托人改变网上挂牌结果的，或者成交候选人放弃竞得宗地的，应当承担相应法律责任。</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竞得人应按挂牌出让公告规定的时间与交易中心、委托人签订成交确认书，根据成交确认书约定的时间与委托人签订出让合同，并按合同约定支付成交价款。</w:t>
      </w:r>
    </w:p>
    <w:p>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交易中心受托提供代收代退竞买保证金服务，未竞得人缴纳的竞买保证金（以人民币缴纳的竞买保证金）将于电子挂牌交易活动结束之日起5个工作日内通过网上退还的形式原路退还保证金，不计利息。</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竞得人交纳的竞买保证金转付成交价款，办理转付成交价款手续应带齐如下相关资料：</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关于将竞买保证金转为出让价款的申请</w:t>
      </w:r>
      <w:r>
        <w:rPr>
          <w:rFonts w:hint="eastAsia" w:ascii="仿宋_GB2312" w:hAnsi="仿宋_GB2312" w:eastAsia="仿宋_GB2312" w:cs="仿宋_GB2312"/>
          <w:sz w:val="32"/>
          <w:szCs w:val="32"/>
        </w:rPr>
        <w:t>；</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2、惠州市非税收入缴款通知；</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3、银行端查询缴税凭证；</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4、竞买保证金到账通知书；</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5、竞价结果通知书；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6、保证金转账凭证。</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为避免网络延迟问题，竞买人首次报价应在网上挂牌截止前10分钟提交，以防止电子交易系统无法及时接收到报价的情况发生。5分钟倒计时竞价期间，请不要在最后时点报价，以防网络延时造成报价提交不成功。</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交易期间的电子交易系统服务器实行封闭管理。发生下列情形之一的，交易中心需暂停、中止或终止交易活动，并及时将相关情况报政府有关行政主管部门处理，在公共资源交易平台网上予以公告。委托人待问题排查、清除后，依法重新组织交易活动。</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1、电子交易系统受到黑客、病毒恶意攻击的；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2、公共资源交易平台因停电、电子交易系统故障、网络故障、交易软件或数据库错误等因素影响到交易活动不能正常进行的；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3、电子交易系统发现有安全漏洞，有潜在泄密危险，无法保证电子交易信息安全和公平公正交易的；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4、政府有关行政主管部门及司法机关依法要求暂停、中止或终止交易的；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5、委托人书面通知交易中心要求暂停、中止或终止交易的；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6、依法应当暂停、中止或终止交易的其他情形。</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（八）网上挂牌成交价即为该宗地的出让总地价款，竞得人除支付成交价款外，还需支付契税、印花税等有关费用。</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（九）竞得人与委托人签订出让合同后，应当按出让合同约定支付网上挂牌成交价款。竞得人付清全部成交价款后，依法申请办理土地登记，领取《不动产权证书》。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（十）网上挂牌不成交的，由委托人重新组织挂牌出让。</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（十一）挂牌出让公告、竞买须知及相关交易文件需要修改、补充时，将通过原挂牌出让公告发布渠道公告，不作另行通知。</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应当及时关注该宗地的网上挂牌交易信息。交易中心发出的修改、补充公告，与挂牌出让公告、竞买须知及相关交易文件具有同等效力。若与挂牌出让公告、竞买须知及相关交易文件有矛盾时，以日期在后者为准。</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（十二）本须知及挂牌出让公告涉及的时间期限，以电子交易系统服务器的时间为准。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（十三）本《竞买须知》的最终解释权归交易中心所有。未尽事宜依照《招标拍卖挂牌出让国有土地使用权规范》办理。</w:t>
      </w:r>
    </w:p>
    <w:p>
      <w:pPr>
        <w:ind w:firstLine="640" w:firstLineChars="200"/>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2880" w:firstLineChars="9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惠州市公共资源交易中心惠东分中心</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w:t>
      </w:r>
      <w:bookmarkStart w:id="3" w:name="_GoBack"/>
      <w:bookmarkEnd w:id="3"/>
      <w:r>
        <w:rPr>
          <w:rFonts w:hint="eastAsia" w:ascii="仿宋_GB2312" w:hAnsi="仿宋_GB2312" w:eastAsia="仿宋_GB2312" w:cs="仿宋_GB2312"/>
          <w:color w:val="000000" w:themeColor="text1"/>
          <w:sz w:val="32"/>
          <w:szCs w:val="32"/>
          <w14:textFill>
            <w14:solidFill>
              <w14:schemeClr w14:val="tx1"/>
            </w14:solidFill>
          </w14:textFill>
        </w:rPr>
        <w:t>日</w:t>
      </w:r>
      <w:bookmarkEnd w:id="1"/>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C9575"/>
    <w:multiLevelType w:val="singleLevel"/>
    <w:tmpl w:val="A31C957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2NzY5N2E2ZTYzMTU5Y2U3ODcxODJjZTVkMThiNTIifQ=="/>
  </w:docVars>
  <w:rsids>
    <w:rsidRoot w:val="0D96631E"/>
    <w:rsid w:val="00664138"/>
    <w:rsid w:val="008C3E6C"/>
    <w:rsid w:val="00C27F33"/>
    <w:rsid w:val="00DF35A8"/>
    <w:rsid w:val="01D3656D"/>
    <w:rsid w:val="02C01014"/>
    <w:rsid w:val="0368414F"/>
    <w:rsid w:val="03E4664D"/>
    <w:rsid w:val="04347932"/>
    <w:rsid w:val="04C37CA2"/>
    <w:rsid w:val="05036E4E"/>
    <w:rsid w:val="05555850"/>
    <w:rsid w:val="06587A83"/>
    <w:rsid w:val="069C7F64"/>
    <w:rsid w:val="07EB639F"/>
    <w:rsid w:val="08FE7D79"/>
    <w:rsid w:val="097570D0"/>
    <w:rsid w:val="098D6F71"/>
    <w:rsid w:val="0A2D27D6"/>
    <w:rsid w:val="0A8567FF"/>
    <w:rsid w:val="0B353F6E"/>
    <w:rsid w:val="0BC8275B"/>
    <w:rsid w:val="0C413FEF"/>
    <w:rsid w:val="0D96631E"/>
    <w:rsid w:val="0F15236E"/>
    <w:rsid w:val="0F586A0D"/>
    <w:rsid w:val="0F8728CB"/>
    <w:rsid w:val="0F9D2CCF"/>
    <w:rsid w:val="1138689E"/>
    <w:rsid w:val="11750EDC"/>
    <w:rsid w:val="12413F80"/>
    <w:rsid w:val="127C1711"/>
    <w:rsid w:val="12964DAF"/>
    <w:rsid w:val="14481734"/>
    <w:rsid w:val="14A678D0"/>
    <w:rsid w:val="14B25D4D"/>
    <w:rsid w:val="15957ACE"/>
    <w:rsid w:val="15B6774B"/>
    <w:rsid w:val="15C9078C"/>
    <w:rsid w:val="15F52E01"/>
    <w:rsid w:val="174C6453"/>
    <w:rsid w:val="17895AAB"/>
    <w:rsid w:val="182E1C93"/>
    <w:rsid w:val="193B2C44"/>
    <w:rsid w:val="198C1105"/>
    <w:rsid w:val="199F6C8D"/>
    <w:rsid w:val="1A8B48D7"/>
    <w:rsid w:val="1BCA5BAC"/>
    <w:rsid w:val="1CAC3553"/>
    <w:rsid w:val="1DAD3E49"/>
    <w:rsid w:val="1EEE3E6F"/>
    <w:rsid w:val="1F8A17DA"/>
    <w:rsid w:val="1FFD75D8"/>
    <w:rsid w:val="206C4B95"/>
    <w:rsid w:val="207267B6"/>
    <w:rsid w:val="21FF6D70"/>
    <w:rsid w:val="224C5F2F"/>
    <w:rsid w:val="225D46F6"/>
    <w:rsid w:val="22693E67"/>
    <w:rsid w:val="234B10F5"/>
    <w:rsid w:val="24134E9E"/>
    <w:rsid w:val="242E7F33"/>
    <w:rsid w:val="2430365E"/>
    <w:rsid w:val="24541005"/>
    <w:rsid w:val="24EC4FEB"/>
    <w:rsid w:val="2522755B"/>
    <w:rsid w:val="253915A5"/>
    <w:rsid w:val="286E78C3"/>
    <w:rsid w:val="28880243"/>
    <w:rsid w:val="28890BEC"/>
    <w:rsid w:val="28C83E97"/>
    <w:rsid w:val="28F50888"/>
    <w:rsid w:val="2987215F"/>
    <w:rsid w:val="2A467F84"/>
    <w:rsid w:val="2A4E247F"/>
    <w:rsid w:val="2B6535CC"/>
    <w:rsid w:val="2B726945"/>
    <w:rsid w:val="2C652B1C"/>
    <w:rsid w:val="2E787FBF"/>
    <w:rsid w:val="2EB52590"/>
    <w:rsid w:val="2EEB0850"/>
    <w:rsid w:val="2FCC3A6A"/>
    <w:rsid w:val="31993A95"/>
    <w:rsid w:val="31CE04BB"/>
    <w:rsid w:val="32184567"/>
    <w:rsid w:val="32853FE5"/>
    <w:rsid w:val="33884F53"/>
    <w:rsid w:val="35B12976"/>
    <w:rsid w:val="35E1664C"/>
    <w:rsid w:val="3621785C"/>
    <w:rsid w:val="37016E59"/>
    <w:rsid w:val="37251A19"/>
    <w:rsid w:val="390E6C35"/>
    <w:rsid w:val="39192335"/>
    <w:rsid w:val="39B55791"/>
    <w:rsid w:val="39EF1CF4"/>
    <w:rsid w:val="3A9B3D32"/>
    <w:rsid w:val="3BC566C9"/>
    <w:rsid w:val="3C9B7F2F"/>
    <w:rsid w:val="3D0B4302"/>
    <w:rsid w:val="3E1750D8"/>
    <w:rsid w:val="3EAF07A1"/>
    <w:rsid w:val="3F4C2CB2"/>
    <w:rsid w:val="3F8D5837"/>
    <w:rsid w:val="3FF3419C"/>
    <w:rsid w:val="41745DC2"/>
    <w:rsid w:val="41EB708C"/>
    <w:rsid w:val="428C3999"/>
    <w:rsid w:val="42AE534E"/>
    <w:rsid w:val="42E17B48"/>
    <w:rsid w:val="43E12AFB"/>
    <w:rsid w:val="4450764F"/>
    <w:rsid w:val="464666A1"/>
    <w:rsid w:val="468E471D"/>
    <w:rsid w:val="46B574D6"/>
    <w:rsid w:val="47CD3E73"/>
    <w:rsid w:val="48F10D6C"/>
    <w:rsid w:val="49CB5D2E"/>
    <w:rsid w:val="49DA3385"/>
    <w:rsid w:val="4A497E70"/>
    <w:rsid w:val="4A6347B3"/>
    <w:rsid w:val="4B8D2F38"/>
    <w:rsid w:val="4BB137D9"/>
    <w:rsid w:val="4CE03A9C"/>
    <w:rsid w:val="4D2E4C77"/>
    <w:rsid w:val="4F590142"/>
    <w:rsid w:val="4F624AF9"/>
    <w:rsid w:val="50D04F55"/>
    <w:rsid w:val="513A5026"/>
    <w:rsid w:val="54605AC5"/>
    <w:rsid w:val="556A52A1"/>
    <w:rsid w:val="560B6EB6"/>
    <w:rsid w:val="56E70DCE"/>
    <w:rsid w:val="574C278E"/>
    <w:rsid w:val="584612E0"/>
    <w:rsid w:val="589D665D"/>
    <w:rsid w:val="596E6608"/>
    <w:rsid w:val="59964266"/>
    <w:rsid w:val="5B8027AB"/>
    <w:rsid w:val="5D1879C1"/>
    <w:rsid w:val="5D3F3390"/>
    <w:rsid w:val="5D497381"/>
    <w:rsid w:val="5E373C13"/>
    <w:rsid w:val="5E522449"/>
    <w:rsid w:val="5F130109"/>
    <w:rsid w:val="5F3D1F26"/>
    <w:rsid w:val="5FC44390"/>
    <w:rsid w:val="60381C42"/>
    <w:rsid w:val="61352610"/>
    <w:rsid w:val="61463027"/>
    <w:rsid w:val="61BA1DD2"/>
    <w:rsid w:val="61EC6AC5"/>
    <w:rsid w:val="636D04A3"/>
    <w:rsid w:val="64DC3114"/>
    <w:rsid w:val="6505740A"/>
    <w:rsid w:val="651D4E5B"/>
    <w:rsid w:val="65243DEF"/>
    <w:rsid w:val="655D260C"/>
    <w:rsid w:val="65733ED9"/>
    <w:rsid w:val="6617798C"/>
    <w:rsid w:val="66640828"/>
    <w:rsid w:val="6665566A"/>
    <w:rsid w:val="67387B2D"/>
    <w:rsid w:val="68CA4641"/>
    <w:rsid w:val="68CB5DD7"/>
    <w:rsid w:val="68EE7C3A"/>
    <w:rsid w:val="69103409"/>
    <w:rsid w:val="691B3097"/>
    <w:rsid w:val="69F7647F"/>
    <w:rsid w:val="6AC34BC3"/>
    <w:rsid w:val="6ACB5289"/>
    <w:rsid w:val="6BE05A8B"/>
    <w:rsid w:val="6C026FB6"/>
    <w:rsid w:val="6CA57501"/>
    <w:rsid w:val="6DE00A2C"/>
    <w:rsid w:val="6E1045E8"/>
    <w:rsid w:val="6E411439"/>
    <w:rsid w:val="70BF39A6"/>
    <w:rsid w:val="714128A2"/>
    <w:rsid w:val="71C379DC"/>
    <w:rsid w:val="737B7F1F"/>
    <w:rsid w:val="73A800F4"/>
    <w:rsid w:val="7455322A"/>
    <w:rsid w:val="745676AC"/>
    <w:rsid w:val="75692EE5"/>
    <w:rsid w:val="761A4520"/>
    <w:rsid w:val="76583AAF"/>
    <w:rsid w:val="766A2811"/>
    <w:rsid w:val="7723477C"/>
    <w:rsid w:val="777438A8"/>
    <w:rsid w:val="786543D7"/>
    <w:rsid w:val="78861E4A"/>
    <w:rsid w:val="78AC2EB7"/>
    <w:rsid w:val="78F507F3"/>
    <w:rsid w:val="79CB18BC"/>
    <w:rsid w:val="7A507CB1"/>
    <w:rsid w:val="7ADC36C2"/>
    <w:rsid w:val="7B293CFA"/>
    <w:rsid w:val="7B4D76AC"/>
    <w:rsid w:val="7B813478"/>
    <w:rsid w:val="7CCA02FD"/>
    <w:rsid w:val="7CDB7789"/>
    <w:rsid w:val="7F1107D4"/>
    <w:rsid w:val="7F287561"/>
    <w:rsid w:val="7FC11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0"/>
    <w:pPr>
      <w:keepNext/>
      <w:keepLines/>
      <w:widowControl w:val="0"/>
      <w:spacing w:before="280" w:after="290" w:line="376" w:lineRule="auto"/>
      <w:outlineLvl w:val="3"/>
    </w:pPr>
    <w:rPr>
      <w:rFonts w:ascii="Cambria" w:hAnsi="Cambria" w:eastAsia="宋体" w:cs="Times New Roman"/>
      <w:b/>
      <w:bCs/>
      <w:sz w:val="28"/>
      <w:szCs w:val="28"/>
      <w:lang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0"/>
    <w:pPr>
      <w:ind w:firstLine="420" w:firstLineChars="200"/>
    </w:pPr>
  </w:style>
  <w:style w:type="paragraph" w:styleId="4">
    <w:name w:val="Block Text"/>
    <w:basedOn w:val="1"/>
    <w:next w:val="1"/>
    <w:unhideWhenUsed/>
    <w:qFormat/>
    <w:uiPriority w:val="99"/>
    <w:pPr>
      <w:spacing w:after="120"/>
      <w:ind w:left="1440" w:leftChars="700" w:right="700" w:rightChars="700"/>
    </w:pPr>
  </w:style>
  <w:style w:type="paragraph" w:styleId="5">
    <w:name w:val="Plain Text"/>
    <w:basedOn w:val="1"/>
    <w:unhideWhenUsed/>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szCs w:val="24"/>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惠东县</Company>
  <Pages>12</Pages>
  <Words>5506</Words>
  <Characters>268</Characters>
  <Lines>2</Lines>
  <Paragraphs>11</Paragraphs>
  <TotalTime>39</TotalTime>
  <ScaleCrop>false</ScaleCrop>
  <LinksUpToDate>false</LinksUpToDate>
  <CharactersWithSpaces>5763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2022-10-19T03:46:00Z</dcterms:created>
  <dc:creator>陈伟兵</dc:creator>
  <cp:lastModifiedBy>Administrator</cp:lastModifiedBy>
  <cp:lastPrinted>2025-12-16T02:27:00Z</cp:lastPrinted>
  <dcterms:modified xsi:type="dcterms:W3CDTF">2026-09-29T02:30:24Z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8690BC899D504E4582ECA37EEC77421D</vt:lpwstr>
  </property>
</Properties>
</file>